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86"/>
        <w:tblW w:w="10998" w:type="dxa"/>
        <w:tblLook w:val="00A0" w:firstRow="1" w:lastRow="0" w:firstColumn="1" w:lastColumn="0" w:noHBand="0" w:noVBand="0"/>
      </w:tblPr>
      <w:tblGrid>
        <w:gridCol w:w="2898"/>
        <w:gridCol w:w="5088"/>
        <w:gridCol w:w="3012"/>
      </w:tblGrid>
      <w:tr w:rsidR="00FF316A" w:rsidRPr="00C35E02" w14:paraId="27285EBC" w14:textId="77777777" w:rsidTr="000D01F6">
        <w:trPr>
          <w:trHeight w:val="360"/>
        </w:trPr>
        <w:tc>
          <w:tcPr>
            <w:tcW w:w="2898" w:type="dxa"/>
          </w:tcPr>
          <w:p w14:paraId="4ADF7F21" w14:textId="77777777" w:rsidR="00FF316A" w:rsidRPr="00C35E02" w:rsidRDefault="00FF316A" w:rsidP="00832287">
            <w:pPr>
              <w:jc w:val="center"/>
              <w:rPr>
                <w:rFonts w:ascii="Times New Roman" w:hAnsi="Times New Roman"/>
                <w:color w:val="0000CC"/>
                <w:sz w:val="16"/>
              </w:rPr>
            </w:pPr>
            <w:r w:rsidRPr="00C35E02">
              <w:rPr>
                <w:rFonts w:ascii="Times New Roman" w:hAnsi="Times New Roman"/>
                <w:color w:val="0000CC"/>
                <w:sz w:val="16"/>
              </w:rPr>
              <w:t xml:space="preserve">  </w:t>
            </w:r>
          </w:p>
          <w:p w14:paraId="7B1D011B" w14:textId="3934B9B3" w:rsidR="00FF316A" w:rsidRPr="00C35E02" w:rsidRDefault="007F0068" w:rsidP="00832287">
            <w:pPr>
              <w:jc w:val="center"/>
              <w:rPr>
                <w:rFonts w:ascii="Times New Roman" w:hAnsi="Times New Roman"/>
                <w:color w:val="0000CC"/>
                <w:sz w:val="16"/>
              </w:rPr>
            </w:pPr>
            <w:r>
              <w:rPr>
                <w:rFonts w:ascii="Times New Roman" w:hAnsi="Times New Roman"/>
                <w:color w:val="0000CC"/>
                <w:sz w:val="16"/>
              </w:rPr>
              <w:t>JAMES SETTELMEYER</w:t>
            </w:r>
          </w:p>
          <w:p w14:paraId="22C06D22" w14:textId="0BC87D89" w:rsidR="00FF316A" w:rsidRPr="00C35E02" w:rsidRDefault="00FF316A" w:rsidP="00832287">
            <w:pPr>
              <w:jc w:val="center"/>
              <w:rPr>
                <w:rFonts w:ascii="Times New Roman" w:hAnsi="Times New Roman"/>
                <w:i/>
                <w:color w:val="0000CC"/>
                <w:sz w:val="16"/>
              </w:rPr>
            </w:pPr>
            <w:r w:rsidRPr="00C35E02">
              <w:rPr>
                <w:rFonts w:ascii="Times New Roman" w:hAnsi="Times New Roman"/>
                <w:i/>
                <w:color w:val="0000CC"/>
                <w:sz w:val="16"/>
              </w:rPr>
              <w:t>Director</w:t>
            </w:r>
          </w:p>
        </w:tc>
        <w:tc>
          <w:tcPr>
            <w:tcW w:w="5088" w:type="dxa"/>
          </w:tcPr>
          <w:p w14:paraId="4B2782CC" w14:textId="77777777" w:rsidR="00FF316A" w:rsidRPr="00C35E02" w:rsidRDefault="00FF316A" w:rsidP="00832287">
            <w:pPr>
              <w:ind w:left="-108" w:right="-108"/>
              <w:jc w:val="center"/>
              <w:rPr>
                <w:rFonts w:ascii="Times New Roman" w:hAnsi="Times New Roman"/>
                <w:color w:val="0000CC"/>
                <w:sz w:val="16"/>
              </w:rPr>
            </w:pPr>
          </w:p>
          <w:p w14:paraId="45D1B6F5" w14:textId="0AD20827" w:rsidR="00FF316A" w:rsidRPr="00C35E02" w:rsidRDefault="007F0068" w:rsidP="00832287">
            <w:pPr>
              <w:ind w:left="-108" w:right="-108"/>
              <w:jc w:val="center"/>
              <w:rPr>
                <w:rFonts w:ascii="Times New Roman" w:hAnsi="Times New Roman"/>
                <w:color w:val="0000CC"/>
                <w:sz w:val="16"/>
              </w:rPr>
            </w:pPr>
            <w:r>
              <w:rPr>
                <w:rFonts w:ascii="Times New Roman" w:hAnsi="Times New Roman"/>
                <w:color w:val="0000CC"/>
                <w:sz w:val="16"/>
              </w:rPr>
              <w:t>JOE LOMBARDO</w:t>
            </w:r>
          </w:p>
          <w:p w14:paraId="1964AF98" w14:textId="77777777" w:rsidR="00FF316A" w:rsidRPr="00C35E02" w:rsidRDefault="00FF316A" w:rsidP="00832287">
            <w:pPr>
              <w:ind w:left="-108" w:right="-108"/>
              <w:jc w:val="center"/>
              <w:rPr>
                <w:rFonts w:ascii="Times New Roman" w:hAnsi="Times New Roman"/>
                <w:i/>
                <w:color w:val="0000CC"/>
                <w:sz w:val="16"/>
              </w:rPr>
            </w:pPr>
            <w:r w:rsidRPr="00C35E02">
              <w:rPr>
                <w:rFonts w:ascii="Times New Roman" w:hAnsi="Times New Roman"/>
                <w:i/>
                <w:color w:val="0000CC"/>
                <w:sz w:val="16"/>
              </w:rPr>
              <w:t>Governor</w:t>
            </w:r>
          </w:p>
        </w:tc>
        <w:tc>
          <w:tcPr>
            <w:tcW w:w="3012" w:type="dxa"/>
          </w:tcPr>
          <w:p w14:paraId="46B124D9" w14:textId="77777777" w:rsidR="00FF316A" w:rsidRDefault="00FF316A" w:rsidP="00832287">
            <w:pPr>
              <w:jc w:val="center"/>
              <w:rPr>
                <w:rFonts w:ascii="Times New Roman" w:hAnsi="Times New Roman"/>
                <w:color w:val="0000CC"/>
                <w:sz w:val="16"/>
              </w:rPr>
            </w:pPr>
            <w:r>
              <w:rPr>
                <w:rFonts w:ascii="Times New Roman" w:hAnsi="Times New Roman"/>
                <w:color w:val="0000CC"/>
                <w:sz w:val="16"/>
              </w:rPr>
              <w:t>State Land Use Planning Advisory Council</w:t>
            </w:r>
          </w:p>
          <w:p w14:paraId="14DF6F61" w14:textId="77777777" w:rsidR="00FF316A" w:rsidRDefault="00FF316A" w:rsidP="00832287">
            <w:pPr>
              <w:jc w:val="center"/>
              <w:rPr>
                <w:rFonts w:ascii="Times New Roman" w:hAnsi="Times New Roman"/>
                <w:color w:val="0000CC"/>
                <w:sz w:val="16"/>
              </w:rPr>
            </w:pPr>
            <w:r w:rsidRPr="00C35E02">
              <w:rPr>
                <w:rFonts w:ascii="Times New Roman" w:hAnsi="Times New Roman"/>
                <w:color w:val="0000CC"/>
                <w:sz w:val="16"/>
              </w:rPr>
              <w:t>State Land Use Planning Agency</w:t>
            </w:r>
          </w:p>
          <w:p w14:paraId="5AC087D8" w14:textId="77777777" w:rsidR="00FF316A" w:rsidRPr="00C35E02" w:rsidRDefault="00FF316A" w:rsidP="00832287">
            <w:pPr>
              <w:jc w:val="center"/>
              <w:rPr>
                <w:rFonts w:ascii="Times New Roman" w:hAnsi="Times New Roman"/>
                <w:color w:val="0000CC"/>
                <w:sz w:val="16"/>
              </w:rPr>
            </w:pPr>
          </w:p>
        </w:tc>
      </w:tr>
      <w:tr w:rsidR="00FF316A" w:rsidRPr="00C35E02" w14:paraId="7FF5F0F8" w14:textId="77777777" w:rsidTr="000D01F6">
        <w:trPr>
          <w:trHeight w:val="432"/>
        </w:trPr>
        <w:tc>
          <w:tcPr>
            <w:tcW w:w="2898" w:type="dxa"/>
          </w:tcPr>
          <w:p w14:paraId="52C71009" w14:textId="77777777" w:rsidR="00FF316A" w:rsidRPr="00C35E02" w:rsidRDefault="00FF316A" w:rsidP="00832287">
            <w:pPr>
              <w:jc w:val="center"/>
              <w:rPr>
                <w:rFonts w:ascii="Times New Roman" w:hAnsi="Times New Roman"/>
                <w:color w:val="0000CC"/>
                <w:sz w:val="16"/>
              </w:rPr>
            </w:pPr>
            <w:r w:rsidRPr="00C35E02">
              <w:rPr>
                <w:rFonts w:ascii="Times New Roman" w:hAnsi="Times New Roman"/>
                <w:color w:val="0000CC"/>
                <w:sz w:val="16"/>
              </w:rPr>
              <w:t>Department of Conservation</w:t>
            </w:r>
          </w:p>
          <w:p w14:paraId="39BF1CE2" w14:textId="77777777" w:rsidR="00FF316A" w:rsidRPr="00C35E02" w:rsidRDefault="00FF316A" w:rsidP="00832287">
            <w:pPr>
              <w:jc w:val="center"/>
              <w:rPr>
                <w:rFonts w:ascii="Times New Roman" w:hAnsi="Times New Roman"/>
                <w:color w:val="0000CC"/>
                <w:sz w:val="16"/>
              </w:rPr>
            </w:pPr>
            <w:r w:rsidRPr="00C35E02">
              <w:rPr>
                <w:rFonts w:ascii="Times New Roman" w:hAnsi="Times New Roman"/>
                <w:color w:val="0000CC"/>
                <w:sz w:val="16"/>
              </w:rPr>
              <w:t>and Natural Resources</w:t>
            </w:r>
          </w:p>
        </w:tc>
        <w:tc>
          <w:tcPr>
            <w:tcW w:w="5088" w:type="dxa"/>
            <w:vMerge w:val="restart"/>
            <w:vAlign w:val="center"/>
          </w:tcPr>
          <w:p w14:paraId="73C3EE5A" w14:textId="77777777" w:rsidR="00FF316A" w:rsidRPr="00C35E02" w:rsidRDefault="00FF316A" w:rsidP="00832287">
            <w:pPr>
              <w:ind w:left="-108" w:right="-108"/>
              <w:jc w:val="center"/>
              <w:rPr>
                <w:rFonts w:ascii="Times New Roman" w:hAnsi="Times New Roman"/>
                <w:color w:val="0000CC"/>
                <w:sz w:val="16"/>
              </w:rPr>
            </w:pPr>
            <w:r>
              <w:rPr>
                <w:rFonts w:ascii="Times New Roman" w:hAnsi="Times New Roman"/>
                <w:noProof/>
                <w:szCs w:val="22"/>
              </w:rPr>
              <w:drawing>
                <wp:inline distT="0" distB="0" distL="0" distR="0" wp14:anchorId="508F641D" wp14:editId="280088EC">
                  <wp:extent cx="10191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3012" w:type="dxa"/>
            <w:vAlign w:val="center"/>
          </w:tcPr>
          <w:p w14:paraId="3E9BF43F" w14:textId="77777777" w:rsidR="00FF316A" w:rsidRPr="00C35E02" w:rsidRDefault="00FF316A" w:rsidP="00832287">
            <w:pPr>
              <w:jc w:val="center"/>
              <w:rPr>
                <w:rFonts w:ascii="Times New Roman" w:hAnsi="Times New Roman"/>
                <w:i/>
                <w:color w:val="0000CC"/>
                <w:sz w:val="16"/>
              </w:rPr>
            </w:pPr>
            <w:r w:rsidRPr="00C35E02">
              <w:rPr>
                <w:rFonts w:ascii="Times New Roman" w:hAnsi="Times New Roman"/>
                <w:i/>
                <w:color w:val="0000CC"/>
                <w:sz w:val="16"/>
              </w:rPr>
              <w:t>Address Reply to</w:t>
            </w:r>
          </w:p>
        </w:tc>
      </w:tr>
      <w:tr w:rsidR="00FF316A" w:rsidRPr="00C35E02" w14:paraId="173A73BA" w14:textId="77777777" w:rsidTr="000D01F6">
        <w:trPr>
          <w:trHeight w:val="1089"/>
        </w:trPr>
        <w:tc>
          <w:tcPr>
            <w:tcW w:w="2898" w:type="dxa"/>
          </w:tcPr>
          <w:p w14:paraId="192A635D" w14:textId="77777777" w:rsidR="00FF316A" w:rsidRPr="00C35E02" w:rsidRDefault="00FF316A" w:rsidP="00832287">
            <w:pPr>
              <w:jc w:val="center"/>
              <w:rPr>
                <w:rFonts w:ascii="Times New Roman" w:hAnsi="Times New Roman"/>
                <w:color w:val="0000CC"/>
                <w:sz w:val="8"/>
                <w:szCs w:val="8"/>
              </w:rPr>
            </w:pPr>
            <w:r w:rsidRPr="00C35E02">
              <w:rPr>
                <w:rFonts w:ascii="Times New Roman" w:hAnsi="Times New Roman"/>
                <w:color w:val="0000CC"/>
                <w:sz w:val="16"/>
              </w:rPr>
              <w:softHyphen/>
            </w:r>
            <w:r w:rsidRPr="00C35E02">
              <w:rPr>
                <w:rFonts w:ascii="Times New Roman" w:hAnsi="Times New Roman"/>
                <w:color w:val="0000CC"/>
                <w:sz w:val="8"/>
                <w:szCs w:val="8"/>
              </w:rPr>
              <w:t>__________________________</w:t>
            </w:r>
          </w:p>
          <w:p w14:paraId="0A32B7A3" w14:textId="77777777" w:rsidR="00FF316A" w:rsidRPr="00C35E02" w:rsidRDefault="00FF316A" w:rsidP="00832287">
            <w:pPr>
              <w:jc w:val="center"/>
              <w:rPr>
                <w:rFonts w:ascii="Times New Roman" w:hAnsi="Times New Roman"/>
                <w:color w:val="0000CC"/>
                <w:sz w:val="8"/>
                <w:szCs w:val="8"/>
              </w:rPr>
            </w:pPr>
          </w:p>
          <w:p w14:paraId="56BB9B51" w14:textId="77777777" w:rsidR="00FF316A" w:rsidRPr="00C35E02" w:rsidRDefault="00FF316A" w:rsidP="00832287">
            <w:pPr>
              <w:jc w:val="center"/>
              <w:rPr>
                <w:rFonts w:ascii="Times New Roman" w:hAnsi="Times New Roman"/>
                <w:color w:val="0000CC"/>
                <w:sz w:val="16"/>
              </w:rPr>
            </w:pPr>
            <w:r>
              <w:rPr>
                <w:rFonts w:ascii="Times New Roman" w:hAnsi="Times New Roman"/>
                <w:color w:val="0000CC"/>
                <w:sz w:val="16"/>
              </w:rPr>
              <w:t>CHARLES DONOHUE</w:t>
            </w:r>
          </w:p>
          <w:p w14:paraId="7642479E" w14:textId="77777777" w:rsidR="00FF316A" w:rsidRPr="00C35E02" w:rsidRDefault="00FF316A" w:rsidP="00832287">
            <w:pPr>
              <w:jc w:val="center"/>
              <w:rPr>
                <w:rFonts w:ascii="Times New Roman" w:hAnsi="Times New Roman"/>
                <w:color w:val="0000CC"/>
                <w:sz w:val="16"/>
              </w:rPr>
            </w:pPr>
            <w:r w:rsidRPr="00C35E02">
              <w:rPr>
                <w:rFonts w:ascii="Times New Roman" w:hAnsi="Times New Roman"/>
                <w:i/>
                <w:color w:val="0000CC"/>
                <w:sz w:val="16"/>
              </w:rPr>
              <w:t>Administrator</w:t>
            </w:r>
          </w:p>
        </w:tc>
        <w:tc>
          <w:tcPr>
            <w:tcW w:w="5088" w:type="dxa"/>
            <w:vMerge/>
          </w:tcPr>
          <w:p w14:paraId="67C26664" w14:textId="77777777" w:rsidR="00FF316A" w:rsidRPr="00C35E02" w:rsidRDefault="00FF316A" w:rsidP="00832287">
            <w:pPr>
              <w:ind w:left="-108" w:right="-108"/>
              <w:jc w:val="center"/>
              <w:rPr>
                <w:rFonts w:ascii="Times New Roman" w:hAnsi="Times New Roman"/>
                <w:color w:val="0000CC"/>
                <w:sz w:val="16"/>
              </w:rPr>
            </w:pPr>
          </w:p>
        </w:tc>
        <w:tc>
          <w:tcPr>
            <w:tcW w:w="3012" w:type="dxa"/>
          </w:tcPr>
          <w:p w14:paraId="27DEFD0C" w14:textId="77777777" w:rsidR="00FF316A" w:rsidRPr="00C35E02" w:rsidRDefault="00FF316A" w:rsidP="00832287">
            <w:pPr>
              <w:jc w:val="center"/>
              <w:rPr>
                <w:rFonts w:ascii="Times New Roman" w:hAnsi="Times New Roman"/>
                <w:color w:val="0000CC"/>
                <w:sz w:val="16"/>
              </w:rPr>
            </w:pPr>
            <w:r>
              <w:rPr>
                <w:rFonts w:ascii="Times New Roman" w:hAnsi="Times New Roman"/>
                <w:color w:val="0000CC"/>
                <w:sz w:val="16"/>
              </w:rPr>
              <w:t>State Land Use Planning Agency</w:t>
            </w:r>
          </w:p>
          <w:p w14:paraId="309E6C5C" w14:textId="77777777" w:rsidR="00FF316A" w:rsidRPr="00C35E02" w:rsidRDefault="00FF316A" w:rsidP="00832287">
            <w:pPr>
              <w:jc w:val="center"/>
              <w:rPr>
                <w:rFonts w:ascii="Times New Roman" w:hAnsi="Times New Roman"/>
                <w:color w:val="0000CC"/>
                <w:sz w:val="16"/>
              </w:rPr>
            </w:pPr>
            <w:smartTag w:uri="urn:schemas-microsoft-com:office:smarttags" w:element="address">
              <w:smartTag w:uri="urn:schemas-microsoft-com:office:smarttags" w:element="Street">
                <w:r w:rsidRPr="00C35E02">
                  <w:rPr>
                    <w:rFonts w:ascii="Times New Roman" w:hAnsi="Times New Roman"/>
                    <w:color w:val="0000CC"/>
                    <w:sz w:val="16"/>
                  </w:rPr>
                  <w:t>901 S. Stewart St. Suite 5003</w:t>
                </w:r>
              </w:smartTag>
            </w:smartTag>
          </w:p>
          <w:p w14:paraId="48AFC556" w14:textId="0EE1DCC7" w:rsidR="00FF316A" w:rsidRPr="00C35E02" w:rsidRDefault="00FF316A" w:rsidP="00832287">
            <w:pPr>
              <w:jc w:val="center"/>
              <w:rPr>
                <w:rFonts w:ascii="Times New Roman" w:hAnsi="Times New Roman"/>
                <w:color w:val="0000CC"/>
                <w:sz w:val="16"/>
              </w:rPr>
            </w:pPr>
            <w:r w:rsidRPr="00C35E02">
              <w:rPr>
                <w:rFonts w:ascii="Times New Roman" w:hAnsi="Times New Roman"/>
                <w:color w:val="0000CC"/>
                <w:sz w:val="16"/>
              </w:rPr>
              <w:t xml:space="preserve">Carson City, </w:t>
            </w:r>
            <w:r w:rsidR="003D08DB" w:rsidRPr="00C35E02">
              <w:rPr>
                <w:rFonts w:ascii="Times New Roman" w:hAnsi="Times New Roman"/>
                <w:color w:val="0000CC"/>
                <w:sz w:val="16"/>
              </w:rPr>
              <w:t>Nevada 89701</w:t>
            </w:r>
            <w:r w:rsidRPr="00C35E02">
              <w:rPr>
                <w:rFonts w:ascii="Times New Roman" w:hAnsi="Times New Roman"/>
                <w:color w:val="0000CC"/>
                <w:sz w:val="16"/>
              </w:rPr>
              <w:t>-5246</w:t>
            </w:r>
          </w:p>
          <w:p w14:paraId="1A324BC3" w14:textId="77777777" w:rsidR="00FF316A" w:rsidRPr="00C35E02" w:rsidRDefault="00FF316A" w:rsidP="00832287">
            <w:pPr>
              <w:jc w:val="center"/>
              <w:rPr>
                <w:rFonts w:ascii="Times New Roman" w:hAnsi="Times New Roman"/>
                <w:color w:val="0000CC"/>
                <w:sz w:val="16"/>
              </w:rPr>
            </w:pPr>
            <w:r w:rsidRPr="00C35E02">
              <w:rPr>
                <w:rFonts w:ascii="Times New Roman" w:hAnsi="Times New Roman"/>
                <w:color w:val="0000CC"/>
                <w:sz w:val="16"/>
              </w:rPr>
              <w:t>Phone</w:t>
            </w:r>
            <w:r>
              <w:rPr>
                <w:rFonts w:ascii="Times New Roman" w:hAnsi="Times New Roman"/>
                <w:color w:val="0000CC"/>
                <w:sz w:val="16"/>
              </w:rPr>
              <w:t>:</w:t>
            </w:r>
            <w:r w:rsidRPr="00C35E02">
              <w:rPr>
                <w:rFonts w:ascii="Times New Roman" w:hAnsi="Times New Roman"/>
                <w:color w:val="0000CC"/>
                <w:sz w:val="16"/>
              </w:rPr>
              <w:t xml:space="preserve"> (775) 684-272</w:t>
            </w:r>
            <w:r>
              <w:rPr>
                <w:rFonts w:ascii="Times New Roman" w:hAnsi="Times New Roman"/>
                <w:color w:val="0000CC"/>
                <w:sz w:val="16"/>
              </w:rPr>
              <w:t>3</w:t>
            </w:r>
          </w:p>
          <w:p w14:paraId="16913150" w14:textId="77777777" w:rsidR="00FF316A" w:rsidRPr="00C35E02" w:rsidRDefault="00FF316A" w:rsidP="00832287">
            <w:pPr>
              <w:jc w:val="center"/>
              <w:rPr>
                <w:rFonts w:ascii="Times New Roman" w:hAnsi="Times New Roman"/>
                <w:color w:val="0000CC"/>
                <w:sz w:val="16"/>
              </w:rPr>
            </w:pPr>
            <w:r w:rsidRPr="00C35E02">
              <w:rPr>
                <w:rFonts w:ascii="Times New Roman" w:hAnsi="Times New Roman"/>
                <w:color w:val="0000CC"/>
                <w:sz w:val="16"/>
              </w:rPr>
              <w:t>Fax</w:t>
            </w:r>
            <w:r>
              <w:rPr>
                <w:rFonts w:ascii="Times New Roman" w:hAnsi="Times New Roman"/>
                <w:color w:val="0000CC"/>
                <w:sz w:val="16"/>
              </w:rPr>
              <w:t>:</w:t>
            </w:r>
            <w:r w:rsidRPr="00C35E02">
              <w:rPr>
                <w:rFonts w:ascii="Times New Roman" w:hAnsi="Times New Roman"/>
                <w:color w:val="0000CC"/>
                <w:sz w:val="16"/>
              </w:rPr>
              <w:t xml:space="preserve"> (775) 684-2721</w:t>
            </w:r>
          </w:p>
          <w:p w14:paraId="5B1D89C0" w14:textId="77777777" w:rsidR="00FF316A" w:rsidRPr="00C35E02" w:rsidRDefault="00FF316A" w:rsidP="00832287">
            <w:pPr>
              <w:jc w:val="center"/>
              <w:rPr>
                <w:rFonts w:ascii="Times New Roman" w:hAnsi="Times New Roman"/>
                <w:color w:val="0000CC"/>
                <w:sz w:val="16"/>
              </w:rPr>
            </w:pPr>
            <w:r w:rsidRPr="00C35E02">
              <w:rPr>
                <w:rFonts w:ascii="Times New Roman" w:hAnsi="Times New Roman"/>
                <w:color w:val="0000CC"/>
                <w:sz w:val="16"/>
              </w:rPr>
              <w:t>Web</w:t>
            </w:r>
            <w:r>
              <w:rPr>
                <w:rFonts w:ascii="Times New Roman" w:hAnsi="Times New Roman"/>
                <w:color w:val="0000CC"/>
                <w:sz w:val="16"/>
              </w:rPr>
              <w:t>:</w:t>
            </w:r>
            <w:r w:rsidRPr="00C35E02">
              <w:rPr>
                <w:rFonts w:ascii="Times New Roman" w:hAnsi="Times New Roman"/>
                <w:color w:val="0000CC"/>
                <w:sz w:val="16"/>
              </w:rPr>
              <w:t xml:space="preserve"> </w:t>
            </w:r>
            <w:r w:rsidRPr="00E15326">
              <w:rPr>
                <w:rFonts w:ascii="Times New Roman" w:hAnsi="Times New Roman"/>
                <w:color w:val="0000CC"/>
                <w:sz w:val="16"/>
              </w:rPr>
              <w:t>lands.nv.gov/land-use-planning</w:t>
            </w:r>
            <w:r>
              <w:rPr>
                <w:rFonts w:ascii="Times New Roman" w:hAnsi="Times New Roman"/>
                <w:color w:val="0000CC"/>
                <w:sz w:val="16"/>
              </w:rPr>
              <w:t xml:space="preserve"> </w:t>
            </w:r>
          </w:p>
        </w:tc>
      </w:tr>
      <w:tr w:rsidR="00FF316A" w:rsidRPr="00C35E02" w14:paraId="32299059" w14:textId="77777777" w:rsidTr="00FF316A">
        <w:trPr>
          <w:trHeight w:val="360"/>
        </w:trPr>
        <w:tc>
          <w:tcPr>
            <w:tcW w:w="10998" w:type="dxa"/>
            <w:gridSpan w:val="3"/>
            <w:vAlign w:val="bottom"/>
          </w:tcPr>
          <w:p w14:paraId="38766C67" w14:textId="77777777" w:rsidR="00FF316A" w:rsidRPr="00C35E02" w:rsidRDefault="00FF316A" w:rsidP="00832287">
            <w:pPr>
              <w:jc w:val="center"/>
              <w:rPr>
                <w:rFonts w:ascii="Times New Roman" w:hAnsi="Times New Roman"/>
                <w:color w:val="0000CC"/>
                <w:sz w:val="16"/>
              </w:rPr>
            </w:pPr>
            <w:r w:rsidRPr="00C35E02">
              <w:rPr>
                <w:rFonts w:ascii="Times New Roman" w:hAnsi="Times New Roman"/>
                <w:color w:val="0000CC"/>
                <w:sz w:val="20"/>
              </w:rPr>
              <w:t xml:space="preserve">STATE OF </w:t>
            </w:r>
            <w:smartTag w:uri="urn:schemas-microsoft-com:office:smarttags" w:element="place">
              <w:smartTag w:uri="urn:schemas-microsoft-com:office:smarttags" w:element="State">
                <w:r w:rsidRPr="00C35E02">
                  <w:rPr>
                    <w:rFonts w:ascii="Times New Roman" w:hAnsi="Times New Roman"/>
                    <w:color w:val="0000CC"/>
                    <w:sz w:val="20"/>
                  </w:rPr>
                  <w:t>NEVADA</w:t>
                </w:r>
              </w:smartTag>
            </w:smartTag>
          </w:p>
        </w:tc>
      </w:tr>
      <w:tr w:rsidR="00FF316A" w:rsidRPr="00C35E02" w14:paraId="56C31F83" w14:textId="77777777" w:rsidTr="00FF316A">
        <w:trPr>
          <w:trHeight w:val="270"/>
        </w:trPr>
        <w:tc>
          <w:tcPr>
            <w:tcW w:w="10998" w:type="dxa"/>
            <w:gridSpan w:val="3"/>
          </w:tcPr>
          <w:p w14:paraId="7F937381" w14:textId="77777777" w:rsidR="00FF316A" w:rsidRPr="00C35E02" w:rsidRDefault="00FF316A" w:rsidP="00832287">
            <w:pPr>
              <w:jc w:val="center"/>
              <w:rPr>
                <w:rFonts w:ascii="Times New Roman" w:hAnsi="Times New Roman"/>
                <w:color w:val="0000CC"/>
                <w:sz w:val="16"/>
              </w:rPr>
            </w:pPr>
            <w:r w:rsidRPr="00C35E02">
              <w:rPr>
                <w:rFonts w:ascii="Times New Roman" w:hAnsi="Times New Roman"/>
                <w:color w:val="0000CC"/>
                <w:sz w:val="20"/>
              </w:rPr>
              <w:t>DEPARTMENT OF CONSERVATION AND NATURAL RESOURCES</w:t>
            </w:r>
          </w:p>
        </w:tc>
      </w:tr>
      <w:tr w:rsidR="00FF316A" w:rsidRPr="00C35E02" w14:paraId="69E9E326" w14:textId="77777777" w:rsidTr="00FF316A">
        <w:trPr>
          <w:trHeight w:val="450"/>
        </w:trPr>
        <w:tc>
          <w:tcPr>
            <w:tcW w:w="10998" w:type="dxa"/>
            <w:gridSpan w:val="3"/>
          </w:tcPr>
          <w:p w14:paraId="169CC3FA" w14:textId="77777777" w:rsidR="00FF316A" w:rsidRPr="00C35E02" w:rsidRDefault="00FF316A" w:rsidP="00832287">
            <w:pPr>
              <w:jc w:val="center"/>
              <w:rPr>
                <w:rFonts w:ascii="Times New Roman" w:hAnsi="Times New Roman"/>
                <w:color w:val="0000CC"/>
                <w:sz w:val="40"/>
                <w:szCs w:val="40"/>
              </w:rPr>
            </w:pPr>
            <w:r>
              <w:rPr>
                <w:rFonts w:ascii="Times New Roman" w:hAnsi="Times New Roman"/>
                <w:color w:val="0000CC"/>
                <w:sz w:val="40"/>
                <w:szCs w:val="40"/>
              </w:rPr>
              <w:t>State Land Use Planning Advisory Council</w:t>
            </w:r>
          </w:p>
          <w:p w14:paraId="17170A11" w14:textId="77777777" w:rsidR="00FF316A" w:rsidRPr="00C35E02" w:rsidRDefault="00FF316A" w:rsidP="00832287">
            <w:pPr>
              <w:jc w:val="center"/>
              <w:rPr>
                <w:rFonts w:ascii="Times New Roman" w:hAnsi="Times New Roman"/>
                <w:color w:val="0000CC"/>
                <w:sz w:val="36"/>
                <w:szCs w:val="36"/>
              </w:rPr>
            </w:pPr>
          </w:p>
        </w:tc>
      </w:tr>
    </w:tbl>
    <w:p w14:paraId="4CBC12C1" w14:textId="51C47EB9" w:rsidR="00252023" w:rsidRPr="00832287" w:rsidRDefault="00EB01B9" w:rsidP="00832287">
      <w:pPr>
        <w:rPr>
          <w:rFonts w:ascii="Times New Roman" w:hAnsi="Times New Roman"/>
          <w:sz w:val="24"/>
        </w:rPr>
      </w:pPr>
      <w:r w:rsidRPr="00832287">
        <w:rPr>
          <w:rFonts w:ascii="Times New Roman" w:hAnsi="Times New Roman"/>
          <w:sz w:val="24"/>
        </w:rPr>
        <w:t>June 12</w:t>
      </w:r>
      <w:r w:rsidR="00FF316A" w:rsidRPr="00832287">
        <w:rPr>
          <w:rFonts w:ascii="Times New Roman" w:hAnsi="Times New Roman"/>
          <w:sz w:val="24"/>
        </w:rPr>
        <w:t>, 202</w:t>
      </w:r>
      <w:r w:rsidR="007F0068" w:rsidRPr="00832287">
        <w:rPr>
          <w:rFonts w:ascii="Times New Roman" w:hAnsi="Times New Roman"/>
          <w:sz w:val="24"/>
        </w:rPr>
        <w:t>3</w:t>
      </w:r>
    </w:p>
    <w:p w14:paraId="662849CE" w14:textId="783562AE" w:rsidR="00FF316A" w:rsidRPr="00832287" w:rsidRDefault="00FF316A" w:rsidP="00832287">
      <w:pPr>
        <w:rPr>
          <w:rFonts w:ascii="Times New Roman" w:hAnsi="Times New Roman"/>
          <w:sz w:val="24"/>
        </w:rPr>
      </w:pPr>
    </w:p>
    <w:p w14:paraId="7A3E6089" w14:textId="281980AF" w:rsidR="00EB01B9" w:rsidRPr="00832287" w:rsidRDefault="00C44E19" w:rsidP="00832287">
      <w:pPr>
        <w:pStyle w:val="p1"/>
        <w:rPr>
          <w:rFonts w:ascii="Times New Roman" w:hAnsi="Times New Roman"/>
          <w:iCs/>
          <w:sz w:val="24"/>
          <w:szCs w:val="24"/>
        </w:rPr>
      </w:pPr>
      <w:r w:rsidRPr="00832287">
        <w:rPr>
          <w:rFonts w:ascii="Times New Roman" w:hAnsi="Times New Roman"/>
          <w:iCs/>
          <w:sz w:val="24"/>
          <w:szCs w:val="24"/>
        </w:rPr>
        <w:t>1004-AE92, Director (630)</w:t>
      </w:r>
    </w:p>
    <w:p w14:paraId="460A6619" w14:textId="756A883F" w:rsidR="00EB01B9" w:rsidRPr="00832287" w:rsidRDefault="00EB01B9" w:rsidP="00832287">
      <w:pPr>
        <w:pStyle w:val="p1"/>
        <w:rPr>
          <w:rFonts w:ascii="Times New Roman" w:hAnsi="Times New Roman"/>
          <w:iCs/>
          <w:sz w:val="24"/>
          <w:szCs w:val="24"/>
        </w:rPr>
      </w:pPr>
      <w:r w:rsidRPr="00832287">
        <w:rPr>
          <w:rFonts w:ascii="Times New Roman" w:hAnsi="Times New Roman"/>
          <w:iCs/>
          <w:sz w:val="24"/>
          <w:szCs w:val="24"/>
        </w:rPr>
        <w:t>Bureau of Land Management</w:t>
      </w:r>
    </w:p>
    <w:p w14:paraId="17FBB084" w14:textId="77777777" w:rsidR="00EB01B9" w:rsidRPr="00832287" w:rsidRDefault="00EB01B9" w:rsidP="00832287">
      <w:pPr>
        <w:pStyle w:val="p1"/>
        <w:tabs>
          <w:tab w:val="left" w:pos="990"/>
        </w:tabs>
        <w:rPr>
          <w:rFonts w:ascii="Times New Roman" w:hAnsi="Times New Roman"/>
          <w:iCs/>
          <w:sz w:val="24"/>
          <w:szCs w:val="24"/>
        </w:rPr>
      </w:pPr>
      <w:r w:rsidRPr="00832287">
        <w:rPr>
          <w:rFonts w:ascii="Times New Roman" w:hAnsi="Times New Roman"/>
          <w:iCs/>
          <w:sz w:val="24"/>
          <w:szCs w:val="24"/>
        </w:rPr>
        <w:t>1849 C Street NW #5646</w:t>
      </w:r>
    </w:p>
    <w:p w14:paraId="2DAF6CDB" w14:textId="6539457B" w:rsidR="00EB01B9" w:rsidRPr="00832287" w:rsidRDefault="00EB01B9" w:rsidP="00832287">
      <w:pPr>
        <w:pStyle w:val="p1"/>
        <w:rPr>
          <w:rFonts w:ascii="Times New Roman" w:hAnsi="Times New Roman"/>
          <w:iCs/>
          <w:sz w:val="24"/>
          <w:szCs w:val="24"/>
        </w:rPr>
      </w:pPr>
      <w:r w:rsidRPr="00832287">
        <w:rPr>
          <w:rFonts w:ascii="Times New Roman" w:hAnsi="Times New Roman"/>
          <w:iCs/>
          <w:sz w:val="24"/>
          <w:szCs w:val="24"/>
        </w:rPr>
        <w:t xml:space="preserve">Washington, DC </w:t>
      </w:r>
      <w:r w:rsidR="00C44E19" w:rsidRPr="00832287">
        <w:rPr>
          <w:rFonts w:ascii="Times New Roman" w:hAnsi="Times New Roman"/>
          <w:iCs/>
          <w:sz w:val="24"/>
          <w:szCs w:val="24"/>
        </w:rPr>
        <w:t>20240</w:t>
      </w:r>
    </w:p>
    <w:p w14:paraId="6455449F" w14:textId="77777777" w:rsidR="00C84A9E" w:rsidRPr="00832287" w:rsidRDefault="00C84A9E" w:rsidP="00832287">
      <w:pPr>
        <w:rPr>
          <w:rFonts w:ascii="Times New Roman" w:hAnsi="Times New Roman"/>
          <w:sz w:val="24"/>
        </w:rPr>
      </w:pPr>
    </w:p>
    <w:p w14:paraId="6304DD15" w14:textId="1E956F70" w:rsidR="00FF316A" w:rsidRPr="00832287" w:rsidRDefault="00A77650" w:rsidP="00832287">
      <w:pPr>
        <w:rPr>
          <w:rFonts w:ascii="Times New Roman" w:hAnsi="Times New Roman"/>
          <w:sz w:val="24"/>
        </w:rPr>
      </w:pPr>
      <w:r w:rsidRPr="00832287">
        <w:rPr>
          <w:rFonts w:ascii="Times New Roman" w:hAnsi="Times New Roman"/>
          <w:sz w:val="24"/>
        </w:rPr>
        <w:t xml:space="preserve">Re: </w:t>
      </w:r>
      <w:r w:rsidR="00EB01B9" w:rsidRPr="00832287">
        <w:rPr>
          <w:rFonts w:ascii="Times New Roman" w:hAnsi="Times New Roman"/>
          <w:sz w:val="24"/>
        </w:rPr>
        <w:t>1004-AE-92 – Conservation and Landscape Health, Proposed Rule</w:t>
      </w:r>
    </w:p>
    <w:p w14:paraId="4CA25DF9" w14:textId="77777777" w:rsidR="00FF316A" w:rsidRPr="00832287" w:rsidRDefault="00FF316A" w:rsidP="00832287">
      <w:pPr>
        <w:rPr>
          <w:rFonts w:ascii="Times New Roman" w:hAnsi="Times New Roman"/>
          <w:sz w:val="24"/>
        </w:rPr>
      </w:pPr>
    </w:p>
    <w:p w14:paraId="65BEB5A7" w14:textId="5C94F9C9" w:rsidR="00B11F5A" w:rsidRPr="00832287" w:rsidRDefault="005A5D4B" w:rsidP="00832287">
      <w:pPr>
        <w:rPr>
          <w:rFonts w:ascii="Times New Roman" w:hAnsi="Times New Roman"/>
          <w:sz w:val="24"/>
        </w:rPr>
      </w:pPr>
      <w:r>
        <w:rPr>
          <w:rFonts w:ascii="Times New Roman" w:hAnsi="Times New Roman"/>
          <w:sz w:val="24"/>
        </w:rPr>
        <w:t>T</w:t>
      </w:r>
      <w:r w:rsidR="00FF316A" w:rsidRPr="00832287">
        <w:rPr>
          <w:rFonts w:ascii="Times New Roman" w:hAnsi="Times New Roman"/>
          <w:sz w:val="24"/>
        </w:rPr>
        <w:t>he Nevada State Land Use Planning Advisory Council (SLUPAC)</w:t>
      </w:r>
      <w:r w:rsidR="00BB14F8" w:rsidRPr="00832287">
        <w:rPr>
          <w:rFonts w:ascii="Times New Roman" w:hAnsi="Times New Roman"/>
          <w:sz w:val="24"/>
        </w:rPr>
        <w:t>,</w:t>
      </w:r>
      <w:r>
        <w:rPr>
          <w:rFonts w:ascii="Times New Roman" w:hAnsi="Times New Roman"/>
          <w:sz w:val="24"/>
        </w:rPr>
        <w:t xml:space="preserve"> under my signature, </w:t>
      </w:r>
      <w:r w:rsidR="002E6676">
        <w:rPr>
          <w:rFonts w:ascii="Times New Roman" w:hAnsi="Times New Roman"/>
          <w:sz w:val="24"/>
        </w:rPr>
        <w:t xml:space="preserve">is </w:t>
      </w:r>
      <w:r w:rsidR="00A556C4" w:rsidRPr="00832287">
        <w:rPr>
          <w:rFonts w:ascii="Times New Roman" w:hAnsi="Times New Roman"/>
          <w:sz w:val="24"/>
        </w:rPr>
        <w:t xml:space="preserve">providing </w:t>
      </w:r>
      <w:r w:rsidR="00CA4FC0" w:rsidRPr="00832287">
        <w:rPr>
          <w:rFonts w:ascii="Times New Roman" w:hAnsi="Times New Roman"/>
          <w:sz w:val="24"/>
        </w:rPr>
        <w:t>this letter</w:t>
      </w:r>
      <w:r w:rsidR="00FF03F4" w:rsidRPr="00832287">
        <w:rPr>
          <w:rFonts w:ascii="Times New Roman" w:hAnsi="Times New Roman"/>
          <w:sz w:val="24"/>
        </w:rPr>
        <w:t>,</w:t>
      </w:r>
      <w:r w:rsidR="00CA4FC0" w:rsidRPr="00832287">
        <w:rPr>
          <w:rFonts w:ascii="Times New Roman" w:hAnsi="Times New Roman"/>
          <w:sz w:val="24"/>
        </w:rPr>
        <w:t xml:space="preserve"> </w:t>
      </w:r>
      <w:r w:rsidR="007E1D41" w:rsidRPr="00832287">
        <w:rPr>
          <w:rFonts w:ascii="Times New Roman" w:hAnsi="Times New Roman"/>
          <w:sz w:val="24"/>
        </w:rPr>
        <w:t xml:space="preserve">approved by SLUPAC on </w:t>
      </w:r>
      <w:r w:rsidR="00EB01B9" w:rsidRPr="00832287">
        <w:rPr>
          <w:rFonts w:ascii="Times New Roman" w:hAnsi="Times New Roman"/>
          <w:sz w:val="24"/>
        </w:rPr>
        <w:t>June 12</w:t>
      </w:r>
      <w:r w:rsidR="00CD5ED5" w:rsidRPr="00832287">
        <w:rPr>
          <w:rFonts w:ascii="Times New Roman" w:hAnsi="Times New Roman"/>
          <w:sz w:val="24"/>
        </w:rPr>
        <w:t>, 2023</w:t>
      </w:r>
      <w:r w:rsidR="00FF03F4" w:rsidRPr="00832287">
        <w:rPr>
          <w:rFonts w:ascii="Times New Roman" w:hAnsi="Times New Roman"/>
          <w:sz w:val="24"/>
        </w:rPr>
        <w:t>,</w:t>
      </w:r>
      <w:r w:rsidR="007E1D41" w:rsidRPr="00832287">
        <w:rPr>
          <w:rFonts w:ascii="Times New Roman" w:hAnsi="Times New Roman"/>
          <w:sz w:val="24"/>
        </w:rPr>
        <w:t xml:space="preserve"> </w:t>
      </w:r>
      <w:r w:rsidR="001F68B6">
        <w:rPr>
          <w:rFonts w:ascii="Times New Roman" w:hAnsi="Times New Roman"/>
          <w:sz w:val="24"/>
        </w:rPr>
        <w:t>to</w:t>
      </w:r>
      <w:r w:rsidR="00CA4FC0" w:rsidRPr="00832287">
        <w:rPr>
          <w:rFonts w:ascii="Times New Roman" w:hAnsi="Times New Roman"/>
          <w:sz w:val="24"/>
        </w:rPr>
        <w:t xml:space="preserve"> </w:t>
      </w:r>
      <w:r w:rsidR="00B11F5A" w:rsidRPr="00832287">
        <w:rPr>
          <w:rFonts w:ascii="Times New Roman" w:hAnsi="Times New Roman"/>
          <w:sz w:val="24"/>
        </w:rPr>
        <w:t xml:space="preserve">comment on the </w:t>
      </w:r>
      <w:bookmarkStart w:id="0" w:name="_Hlk136611771"/>
      <w:r w:rsidR="00EB01B9" w:rsidRPr="00832287">
        <w:rPr>
          <w:rFonts w:ascii="Times New Roman" w:hAnsi="Times New Roman"/>
          <w:sz w:val="24"/>
        </w:rPr>
        <w:t xml:space="preserve">Conservation and Landscape Health, Proposed Rule </w:t>
      </w:r>
      <w:bookmarkEnd w:id="0"/>
      <w:r w:rsidR="00EB01B9" w:rsidRPr="00832287">
        <w:rPr>
          <w:rFonts w:ascii="Times New Roman" w:hAnsi="Times New Roman"/>
          <w:sz w:val="24"/>
        </w:rPr>
        <w:t>(1004-AE-92)</w:t>
      </w:r>
      <w:r w:rsidR="00BD0C2B" w:rsidRPr="00832287">
        <w:rPr>
          <w:rFonts w:ascii="Times New Roman" w:hAnsi="Times New Roman"/>
          <w:sz w:val="24"/>
        </w:rPr>
        <w:t>.</w:t>
      </w:r>
      <w:r w:rsidR="00365416" w:rsidRPr="00832287">
        <w:rPr>
          <w:rFonts w:ascii="Times New Roman" w:hAnsi="Times New Roman"/>
          <w:sz w:val="24"/>
        </w:rPr>
        <w:t xml:space="preserve">  </w:t>
      </w:r>
    </w:p>
    <w:p w14:paraId="39B17ADC" w14:textId="77777777" w:rsidR="00EB5955" w:rsidRPr="00832287" w:rsidRDefault="00EB5955" w:rsidP="00832287">
      <w:pPr>
        <w:rPr>
          <w:rFonts w:ascii="Times New Roman" w:hAnsi="Times New Roman"/>
          <w:sz w:val="24"/>
        </w:rPr>
      </w:pPr>
    </w:p>
    <w:p w14:paraId="7D2DF220" w14:textId="443FE750" w:rsidR="000345F1" w:rsidRPr="00832287" w:rsidRDefault="00EB5955" w:rsidP="00832287">
      <w:pPr>
        <w:rPr>
          <w:rFonts w:ascii="Times New Roman" w:hAnsi="Times New Roman"/>
          <w:sz w:val="24"/>
        </w:rPr>
      </w:pPr>
      <w:r w:rsidRPr="00832287">
        <w:rPr>
          <w:rFonts w:ascii="Times New Roman" w:hAnsi="Times New Roman"/>
          <w:sz w:val="24"/>
        </w:rPr>
        <w:t>SLUPAC is the only Governor-appointed council that has a county representative from each of</w:t>
      </w:r>
      <w:r w:rsidR="00CD5ED5" w:rsidRPr="00832287">
        <w:rPr>
          <w:rFonts w:ascii="Times New Roman" w:hAnsi="Times New Roman"/>
          <w:sz w:val="24"/>
        </w:rPr>
        <w:t xml:space="preserve"> </w:t>
      </w:r>
      <w:r w:rsidRPr="00832287">
        <w:rPr>
          <w:rFonts w:ascii="Times New Roman" w:hAnsi="Times New Roman"/>
          <w:sz w:val="24"/>
        </w:rPr>
        <w:t>Nevada’s seventeen counties as well as the Nevada Association of Counties (NACO), the</w:t>
      </w:r>
      <w:r w:rsidR="00CD5ED5" w:rsidRPr="00832287">
        <w:rPr>
          <w:rFonts w:ascii="Times New Roman" w:hAnsi="Times New Roman"/>
          <w:sz w:val="24"/>
        </w:rPr>
        <w:t xml:space="preserve"> </w:t>
      </w:r>
      <w:r w:rsidRPr="00832287">
        <w:rPr>
          <w:rFonts w:ascii="Times New Roman" w:hAnsi="Times New Roman"/>
          <w:sz w:val="24"/>
        </w:rPr>
        <w:t>Nevada League of Cities &amp; Municipalities, and the Nevada Indian Commission. SLUPAC</w:t>
      </w:r>
      <w:r w:rsidR="00CD5ED5" w:rsidRPr="00832287">
        <w:rPr>
          <w:rFonts w:ascii="Times New Roman" w:hAnsi="Times New Roman"/>
          <w:sz w:val="24"/>
        </w:rPr>
        <w:t xml:space="preserve"> </w:t>
      </w:r>
      <w:r w:rsidRPr="00832287">
        <w:rPr>
          <w:rFonts w:ascii="Times New Roman" w:hAnsi="Times New Roman"/>
          <w:sz w:val="24"/>
        </w:rPr>
        <w:t>provides recommendations and expertise on land use planning and natural resources issues and</w:t>
      </w:r>
      <w:r w:rsidR="00CD5ED5" w:rsidRPr="00832287">
        <w:rPr>
          <w:rFonts w:ascii="Times New Roman" w:hAnsi="Times New Roman"/>
          <w:sz w:val="24"/>
        </w:rPr>
        <w:t xml:space="preserve"> </w:t>
      </w:r>
      <w:r w:rsidRPr="00832287">
        <w:rPr>
          <w:rFonts w:ascii="Times New Roman" w:hAnsi="Times New Roman"/>
          <w:sz w:val="24"/>
        </w:rPr>
        <w:t>advises the State Land Use Planning Agency regarding the development of plans and statements</w:t>
      </w:r>
      <w:r w:rsidR="00CD5ED5" w:rsidRPr="00832287">
        <w:rPr>
          <w:rFonts w:ascii="Times New Roman" w:hAnsi="Times New Roman"/>
          <w:sz w:val="24"/>
        </w:rPr>
        <w:t xml:space="preserve"> </w:t>
      </w:r>
      <w:r w:rsidRPr="00832287">
        <w:rPr>
          <w:rFonts w:ascii="Times New Roman" w:hAnsi="Times New Roman"/>
          <w:sz w:val="24"/>
        </w:rPr>
        <w:t>of policy.</w:t>
      </w:r>
    </w:p>
    <w:p w14:paraId="7BC1A9C5" w14:textId="4F9AEA2B" w:rsidR="0079166A" w:rsidRPr="00832287" w:rsidRDefault="0079166A" w:rsidP="00832287">
      <w:pPr>
        <w:rPr>
          <w:rFonts w:ascii="Times New Roman" w:hAnsi="Times New Roman"/>
          <w:sz w:val="24"/>
        </w:rPr>
      </w:pPr>
    </w:p>
    <w:p w14:paraId="3189E285" w14:textId="757D44D8" w:rsidR="008D1323" w:rsidRDefault="004E299A" w:rsidP="00832287">
      <w:pPr>
        <w:rPr>
          <w:rFonts w:ascii="Times New Roman" w:hAnsi="Times New Roman"/>
          <w:sz w:val="24"/>
        </w:rPr>
      </w:pPr>
      <w:r w:rsidRPr="00832287">
        <w:rPr>
          <w:rFonts w:ascii="Times New Roman" w:hAnsi="Times New Roman"/>
          <w:sz w:val="24"/>
        </w:rPr>
        <w:t xml:space="preserve">SLUPAC </w:t>
      </w:r>
      <w:r w:rsidR="0081685F" w:rsidRPr="00832287">
        <w:rPr>
          <w:rFonts w:ascii="Times New Roman" w:hAnsi="Times New Roman"/>
          <w:sz w:val="24"/>
        </w:rPr>
        <w:t>appreciates</w:t>
      </w:r>
      <w:r w:rsidRPr="00832287">
        <w:rPr>
          <w:rFonts w:ascii="Times New Roman" w:hAnsi="Times New Roman"/>
          <w:sz w:val="24"/>
        </w:rPr>
        <w:t xml:space="preserve"> the </w:t>
      </w:r>
      <w:r w:rsidR="005A5D4B">
        <w:rPr>
          <w:rFonts w:ascii="Times New Roman" w:hAnsi="Times New Roman"/>
          <w:sz w:val="24"/>
        </w:rPr>
        <w:t>intent</w:t>
      </w:r>
      <w:r w:rsidR="0081685F" w:rsidRPr="00832287">
        <w:rPr>
          <w:rFonts w:ascii="Times New Roman" w:hAnsi="Times New Roman"/>
          <w:sz w:val="24"/>
        </w:rPr>
        <w:t xml:space="preserve"> </w:t>
      </w:r>
      <w:r w:rsidRPr="00832287">
        <w:rPr>
          <w:rFonts w:ascii="Times New Roman" w:hAnsi="Times New Roman"/>
          <w:sz w:val="24"/>
        </w:rPr>
        <w:t xml:space="preserve">to balance </w:t>
      </w:r>
      <w:r w:rsidR="008C0878" w:rsidRPr="00832287">
        <w:rPr>
          <w:rFonts w:ascii="Times New Roman" w:hAnsi="Times New Roman"/>
          <w:sz w:val="24"/>
        </w:rPr>
        <w:t>conservation</w:t>
      </w:r>
      <w:r w:rsidRPr="00832287">
        <w:rPr>
          <w:rFonts w:ascii="Times New Roman" w:hAnsi="Times New Roman"/>
          <w:sz w:val="24"/>
        </w:rPr>
        <w:t xml:space="preserve"> </w:t>
      </w:r>
      <w:r w:rsidR="00FA6FA2" w:rsidRPr="00832287">
        <w:rPr>
          <w:rFonts w:ascii="Times New Roman" w:hAnsi="Times New Roman"/>
          <w:sz w:val="24"/>
        </w:rPr>
        <w:t xml:space="preserve">activities </w:t>
      </w:r>
      <w:r w:rsidR="0081685F" w:rsidRPr="00832287">
        <w:rPr>
          <w:rFonts w:ascii="Times New Roman" w:hAnsi="Times New Roman"/>
          <w:sz w:val="24"/>
        </w:rPr>
        <w:t xml:space="preserve">with the </w:t>
      </w:r>
      <w:r w:rsidR="008C0878" w:rsidRPr="00832287">
        <w:rPr>
          <w:rFonts w:ascii="Times New Roman" w:hAnsi="Times New Roman"/>
          <w:sz w:val="24"/>
        </w:rPr>
        <w:t>Bureau of Land Management’s (BLM)</w:t>
      </w:r>
      <w:r w:rsidR="0081685F" w:rsidRPr="00832287">
        <w:rPr>
          <w:rFonts w:ascii="Times New Roman" w:hAnsi="Times New Roman"/>
          <w:sz w:val="24"/>
        </w:rPr>
        <w:t xml:space="preserve"> multiple use mandate </w:t>
      </w:r>
      <w:r w:rsidRPr="00832287">
        <w:rPr>
          <w:rFonts w:ascii="Times New Roman" w:hAnsi="Times New Roman"/>
          <w:sz w:val="24"/>
        </w:rPr>
        <w:t xml:space="preserve">on Nevada’s public lands through </w:t>
      </w:r>
      <w:r w:rsidR="0081685F" w:rsidRPr="00832287">
        <w:rPr>
          <w:rFonts w:ascii="Times New Roman" w:hAnsi="Times New Roman"/>
          <w:sz w:val="24"/>
        </w:rPr>
        <w:t>the</w:t>
      </w:r>
      <w:r w:rsidRPr="00832287">
        <w:rPr>
          <w:rFonts w:ascii="Times New Roman" w:hAnsi="Times New Roman"/>
          <w:sz w:val="24"/>
        </w:rPr>
        <w:t xml:space="preserve"> </w:t>
      </w:r>
      <w:r w:rsidR="001F68B6">
        <w:rPr>
          <w:rFonts w:ascii="Times New Roman" w:hAnsi="Times New Roman"/>
          <w:sz w:val="24"/>
        </w:rPr>
        <w:t>P</w:t>
      </w:r>
      <w:r w:rsidR="008C0878" w:rsidRPr="00832287">
        <w:rPr>
          <w:rFonts w:ascii="Times New Roman" w:hAnsi="Times New Roman"/>
          <w:sz w:val="24"/>
        </w:rPr>
        <w:t xml:space="preserve">roposed </w:t>
      </w:r>
      <w:r w:rsidR="00FA6FA2" w:rsidRPr="00832287">
        <w:rPr>
          <w:rFonts w:ascii="Times New Roman" w:hAnsi="Times New Roman"/>
          <w:sz w:val="24"/>
        </w:rPr>
        <w:t>Rule</w:t>
      </w:r>
      <w:r w:rsidR="00CE57A4" w:rsidRPr="00832287">
        <w:rPr>
          <w:rFonts w:ascii="Times New Roman" w:hAnsi="Times New Roman"/>
          <w:sz w:val="24"/>
        </w:rPr>
        <w:t>.</w:t>
      </w:r>
      <w:r w:rsidR="00613F1C">
        <w:rPr>
          <w:rFonts w:ascii="Times New Roman" w:hAnsi="Times New Roman"/>
          <w:sz w:val="24"/>
        </w:rPr>
        <w:t xml:space="preserve">  </w:t>
      </w:r>
    </w:p>
    <w:p w14:paraId="0B0C186E" w14:textId="77777777" w:rsidR="00613F1C" w:rsidRDefault="00613F1C" w:rsidP="00832287">
      <w:pPr>
        <w:rPr>
          <w:rFonts w:ascii="Times New Roman" w:hAnsi="Times New Roman"/>
          <w:sz w:val="24"/>
        </w:rPr>
      </w:pPr>
    </w:p>
    <w:p w14:paraId="22F02865" w14:textId="5783D24A" w:rsidR="008D1323" w:rsidRDefault="008D1323" w:rsidP="00832287">
      <w:pPr>
        <w:rPr>
          <w:rFonts w:ascii="Times New Roman" w:hAnsi="Times New Roman"/>
          <w:sz w:val="24"/>
        </w:rPr>
      </w:pPr>
      <w:r>
        <w:rPr>
          <w:rFonts w:ascii="Times New Roman" w:hAnsi="Times New Roman"/>
          <w:sz w:val="24"/>
        </w:rPr>
        <w:t xml:space="preserve">SLUPAC believes that </w:t>
      </w:r>
      <w:r w:rsidR="004D4A1C">
        <w:rPr>
          <w:rFonts w:ascii="Times New Roman" w:hAnsi="Times New Roman"/>
          <w:sz w:val="24"/>
        </w:rPr>
        <w:t xml:space="preserve">there </w:t>
      </w:r>
      <w:r w:rsidR="009F2DAC">
        <w:rPr>
          <w:rFonts w:ascii="Times New Roman" w:hAnsi="Times New Roman"/>
          <w:sz w:val="24"/>
        </w:rPr>
        <w:t xml:space="preserve">are many </w:t>
      </w:r>
      <w:r>
        <w:rPr>
          <w:rFonts w:ascii="Times New Roman" w:hAnsi="Times New Roman"/>
          <w:sz w:val="24"/>
        </w:rPr>
        <w:t>mechanisms</w:t>
      </w:r>
      <w:r w:rsidR="009F2DAC">
        <w:rPr>
          <w:rFonts w:ascii="Times New Roman" w:hAnsi="Times New Roman"/>
          <w:sz w:val="24"/>
        </w:rPr>
        <w:t xml:space="preserve"> that</w:t>
      </w:r>
      <w:r>
        <w:rPr>
          <w:rFonts w:ascii="Times New Roman" w:hAnsi="Times New Roman"/>
          <w:sz w:val="24"/>
        </w:rPr>
        <w:t xml:space="preserve"> </w:t>
      </w:r>
      <w:r w:rsidR="00DB7017">
        <w:rPr>
          <w:rFonts w:ascii="Times New Roman" w:hAnsi="Times New Roman"/>
          <w:sz w:val="24"/>
        </w:rPr>
        <w:t xml:space="preserve">currently </w:t>
      </w:r>
      <w:r>
        <w:rPr>
          <w:rFonts w:ascii="Times New Roman" w:hAnsi="Times New Roman"/>
          <w:sz w:val="24"/>
        </w:rPr>
        <w:t xml:space="preserve">exist to reach the intentions of the Proposed Rule.  Examples include, without limitation, the current BLM range improvement regulations, private party binding agreements such as the Barrick (now Nevada Gold Mines) Bank Enabling Agreement, the Nevada Conservation Credit System, and locally led conservation district Resource Needs Assessments and Conservation Action Plans. </w:t>
      </w:r>
      <w:r w:rsidR="00DB7017">
        <w:rPr>
          <w:rFonts w:ascii="Times New Roman" w:hAnsi="Times New Roman"/>
          <w:sz w:val="24"/>
        </w:rPr>
        <w:t>The</w:t>
      </w:r>
      <w:r>
        <w:rPr>
          <w:rFonts w:ascii="Times New Roman" w:hAnsi="Times New Roman"/>
          <w:sz w:val="24"/>
        </w:rPr>
        <w:t xml:space="preserve"> BLM should work to bolster and provide capacity to these existing partnerships and work to </w:t>
      </w:r>
      <w:r w:rsidR="00DB7017">
        <w:rPr>
          <w:rFonts w:ascii="Times New Roman" w:hAnsi="Times New Roman"/>
          <w:sz w:val="24"/>
        </w:rPr>
        <w:t>improve the</w:t>
      </w:r>
      <w:r>
        <w:rPr>
          <w:rFonts w:ascii="Times New Roman" w:hAnsi="Times New Roman"/>
          <w:sz w:val="24"/>
        </w:rPr>
        <w:t xml:space="preserve"> NEPA process </w:t>
      </w:r>
      <w:r w:rsidR="00DB7017">
        <w:rPr>
          <w:rFonts w:ascii="Times New Roman" w:hAnsi="Times New Roman"/>
          <w:sz w:val="24"/>
        </w:rPr>
        <w:t>so that the conservation objectives of the Proposed Rule can be achieved.</w:t>
      </w:r>
      <w:r w:rsidR="008336D3">
        <w:rPr>
          <w:rFonts w:ascii="Times New Roman" w:hAnsi="Times New Roman"/>
          <w:sz w:val="24"/>
        </w:rPr>
        <w:t xml:space="preserve">  </w:t>
      </w:r>
    </w:p>
    <w:p w14:paraId="74DB9E75" w14:textId="77777777" w:rsidR="002E6676" w:rsidRDefault="002E6676" w:rsidP="00832287">
      <w:pPr>
        <w:rPr>
          <w:rFonts w:ascii="Times New Roman" w:hAnsi="Times New Roman"/>
          <w:sz w:val="24"/>
        </w:rPr>
      </w:pPr>
    </w:p>
    <w:p w14:paraId="0FC10ECF" w14:textId="00A27E80" w:rsidR="00D35FEA" w:rsidRPr="00832287" w:rsidRDefault="001F68B6" w:rsidP="00832287">
      <w:pPr>
        <w:rPr>
          <w:rFonts w:ascii="Times New Roman" w:hAnsi="Times New Roman"/>
          <w:b/>
          <w:bCs/>
          <w:sz w:val="24"/>
          <w:u w:val="single"/>
        </w:rPr>
      </w:pPr>
      <w:r>
        <w:rPr>
          <w:rFonts w:ascii="Times New Roman" w:hAnsi="Times New Roman"/>
          <w:b/>
          <w:bCs/>
          <w:sz w:val="24"/>
          <w:u w:val="single"/>
        </w:rPr>
        <w:t xml:space="preserve">Consistency with </w:t>
      </w:r>
      <w:r w:rsidR="00D35FEA" w:rsidRPr="00832287">
        <w:rPr>
          <w:rFonts w:ascii="Times New Roman" w:hAnsi="Times New Roman"/>
          <w:b/>
          <w:bCs/>
          <w:sz w:val="24"/>
          <w:u w:val="single"/>
        </w:rPr>
        <w:t>Local Land Use Management Plans</w:t>
      </w:r>
    </w:p>
    <w:p w14:paraId="1B11BFF8" w14:textId="77777777" w:rsidR="00D35FEA" w:rsidRPr="00832287" w:rsidRDefault="00D35FEA" w:rsidP="00832287">
      <w:pPr>
        <w:rPr>
          <w:rFonts w:ascii="Times New Roman" w:hAnsi="Times New Roman"/>
          <w:b/>
          <w:bCs/>
          <w:sz w:val="24"/>
          <w:u w:val="single"/>
        </w:rPr>
      </w:pPr>
    </w:p>
    <w:p w14:paraId="1533BDCF" w14:textId="264EABEF" w:rsidR="006B529A" w:rsidRDefault="00280672" w:rsidP="008D3E2C">
      <w:pPr>
        <w:pStyle w:val="ListParagraph"/>
        <w:ind w:left="0"/>
      </w:pPr>
      <w:r w:rsidRPr="00832287">
        <w:t xml:space="preserve">With </w:t>
      </w:r>
      <w:r w:rsidR="005A5D4B">
        <w:t>almost 70</w:t>
      </w:r>
      <w:r w:rsidRPr="00832287">
        <w:t>% of Nevada</w:t>
      </w:r>
      <w:r w:rsidR="001F68B6">
        <w:t>’s land area under</w:t>
      </w:r>
      <w:r w:rsidRPr="00832287">
        <w:t xml:space="preserve"> BLM</w:t>
      </w:r>
      <w:r w:rsidR="001F68B6">
        <w:t xml:space="preserve"> management</w:t>
      </w:r>
      <w:r w:rsidRPr="00832287">
        <w:t>, the economies and land use plans and policies of Federally recognized Indian Tribes (Tribes), state agencies, and local governments will be impacted by the decisions and land allocations made through</w:t>
      </w:r>
      <w:r w:rsidR="005A5D4B">
        <w:t>, or flowing from,</w:t>
      </w:r>
      <w:r w:rsidRPr="00832287">
        <w:t xml:space="preserve"> </w:t>
      </w:r>
      <w:r w:rsidR="001F68B6">
        <w:t>the Proposed Rule</w:t>
      </w:r>
      <w:r w:rsidRPr="00832287">
        <w:t xml:space="preserve">.  </w:t>
      </w:r>
      <w:r w:rsidR="00DB7017">
        <w:t xml:space="preserve">Due to its large Federal land ownership, Nevada will be disproportionally impacted by the proposed public lands rule compared to other states.  </w:t>
      </w:r>
      <w:r w:rsidR="00DA72FA" w:rsidRPr="00832287">
        <w:t xml:space="preserve">Some counties in Nevada have as much as 97% of the land </w:t>
      </w:r>
      <w:r w:rsidR="00DA72FA" w:rsidRPr="00832287">
        <w:lastRenderedPageBreak/>
        <w:t xml:space="preserve">within their jurisdiction managed by the federal government which means </w:t>
      </w:r>
      <w:r w:rsidR="00DA72FA">
        <w:t xml:space="preserve">that </w:t>
      </w:r>
      <w:r w:rsidR="00DB7017">
        <w:t>these areas are</w:t>
      </w:r>
      <w:r w:rsidR="00DA72FA">
        <w:t xml:space="preserve"> already compromised to be able to </w:t>
      </w:r>
      <w:r w:rsidR="00DA72FA" w:rsidRPr="00832287">
        <w:t xml:space="preserve">generate economic activity and tax base. Further restricting land </w:t>
      </w:r>
      <w:proofErr w:type="gramStart"/>
      <w:r w:rsidR="00DA72FA" w:rsidRPr="00832287">
        <w:t>uses</w:t>
      </w:r>
      <w:proofErr w:type="gramEnd"/>
      <w:r w:rsidR="00DA72FA" w:rsidRPr="00832287">
        <w:t xml:space="preserve"> through leases </w:t>
      </w:r>
      <w:r w:rsidR="00DA72FA">
        <w:t xml:space="preserve">for non-revenue </w:t>
      </w:r>
      <w:r w:rsidR="00DA72FA" w:rsidRPr="00832287">
        <w:t>generat</w:t>
      </w:r>
      <w:r w:rsidR="00DA72FA">
        <w:t xml:space="preserve">ing </w:t>
      </w:r>
      <w:r w:rsidR="00DA72FA" w:rsidRPr="00832287">
        <w:t>activit</w:t>
      </w:r>
      <w:r w:rsidR="00DA72FA">
        <w:t>ies</w:t>
      </w:r>
      <w:r w:rsidR="00DA72FA" w:rsidRPr="00832287">
        <w:t xml:space="preserve"> will only exacerbate fiscal challenges for the</w:t>
      </w:r>
      <w:r w:rsidR="00DB7017">
        <w:t>se</w:t>
      </w:r>
      <w:r w:rsidR="00DA72FA" w:rsidRPr="00832287">
        <w:t xml:space="preserve"> </w:t>
      </w:r>
      <w:r w:rsidR="00DA72FA">
        <w:t>local communities</w:t>
      </w:r>
      <w:r w:rsidR="00DA72FA" w:rsidRPr="00832287">
        <w:t>.</w:t>
      </w:r>
      <w:r w:rsidR="00DA72FA">
        <w:t xml:space="preserve"> </w:t>
      </w:r>
    </w:p>
    <w:p w14:paraId="37A52843" w14:textId="77777777" w:rsidR="006B529A" w:rsidRDefault="006B529A" w:rsidP="006B529A">
      <w:pPr>
        <w:rPr>
          <w:rFonts w:ascii="Times New Roman" w:hAnsi="Times New Roman"/>
          <w:sz w:val="24"/>
        </w:rPr>
      </w:pPr>
    </w:p>
    <w:p w14:paraId="0DBC28E9" w14:textId="032A8187" w:rsidR="006B529A" w:rsidRDefault="006B529A" w:rsidP="00832287">
      <w:pPr>
        <w:rPr>
          <w:rFonts w:ascii="Times New Roman" w:hAnsi="Times New Roman"/>
          <w:sz w:val="24"/>
        </w:rPr>
      </w:pPr>
      <w:r w:rsidRPr="00832287">
        <w:rPr>
          <w:rFonts w:ascii="Times New Roman" w:hAnsi="Times New Roman"/>
          <w:sz w:val="24"/>
        </w:rPr>
        <w:t xml:space="preserve">Identifying and prioritizing areas where </w:t>
      </w:r>
      <w:r>
        <w:rPr>
          <w:rFonts w:ascii="Times New Roman" w:hAnsi="Times New Roman"/>
          <w:sz w:val="24"/>
        </w:rPr>
        <w:t>conservations practices</w:t>
      </w:r>
      <w:r w:rsidRPr="00832287">
        <w:rPr>
          <w:rFonts w:ascii="Times New Roman" w:hAnsi="Times New Roman"/>
          <w:sz w:val="24"/>
        </w:rPr>
        <w:t xml:space="preserve"> </w:t>
      </w:r>
      <w:r>
        <w:rPr>
          <w:rFonts w:ascii="Times New Roman" w:hAnsi="Times New Roman"/>
          <w:sz w:val="24"/>
        </w:rPr>
        <w:t xml:space="preserve">can </w:t>
      </w:r>
      <w:r w:rsidR="00DA32E3">
        <w:rPr>
          <w:rFonts w:ascii="Times New Roman" w:hAnsi="Times New Roman"/>
          <w:sz w:val="24"/>
        </w:rPr>
        <w:t xml:space="preserve">be </w:t>
      </w:r>
      <w:r w:rsidRPr="00832287">
        <w:rPr>
          <w:rFonts w:ascii="Times New Roman" w:hAnsi="Times New Roman"/>
          <w:sz w:val="24"/>
        </w:rPr>
        <w:t xml:space="preserve">deployed with as little impact as possible to Nevada’s communities, natural lands, cultural resources, recreation, and other future land uses is critical. SLUPAC stresses the importance of close coordination and consistency between local land use master plans and the </w:t>
      </w:r>
      <w:r>
        <w:rPr>
          <w:rFonts w:ascii="Times New Roman" w:hAnsi="Times New Roman"/>
          <w:sz w:val="24"/>
        </w:rPr>
        <w:t>proposed public lands rule</w:t>
      </w:r>
      <w:r w:rsidRPr="00832287">
        <w:rPr>
          <w:rFonts w:ascii="Times New Roman" w:hAnsi="Times New Roman"/>
          <w:sz w:val="24"/>
        </w:rPr>
        <w:t xml:space="preserve"> to protect and preserve the resources of the State while providing for the </w:t>
      </w:r>
      <w:r w:rsidR="005A5D4B">
        <w:rPr>
          <w:rFonts w:ascii="Times New Roman" w:hAnsi="Times New Roman"/>
          <w:sz w:val="24"/>
        </w:rPr>
        <w:t xml:space="preserve">current and </w:t>
      </w:r>
      <w:r w:rsidRPr="00832287">
        <w:rPr>
          <w:rFonts w:ascii="Times New Roman" w:hAnsi="Times New Roman"/>
          <w:sz w:val="24"/>
        </w:rPr>
        <w:t xml:space="preserve">future needs of residents. The development of </w:t>
      </w:r>
      <w:r>
        <w:rPr>
          <w:rFonts w:ascii="Times New Roman" w:hAnsi="Times New Roman"/>
          <w:sz w:val="24"/>
        </w:rPr>
        <w:t>conservation goals</w:t>
      </w:r>
      <w:r w:rsidRPr="00832287">
        <w:rPr>
          <w:rFonts w:ascii="Times New Roman" w:hAnsi="Times New Roman"/>
          <w:sz w:val="24"/>
        </w:rPr>
        <w:t xml:space="preserve"> on public lands should be prioritized in areas that are consistent with and support local land use</w:t>
      </w:r>
      <w:r w:rsidR="005A5D4B">
        <w:rPr>
          <w:rFonts w:ascii="Times New Roman" w:hAnsi="Times New Roman"/>
          <w:sz w:val="24"/>
        </w:rPr>
        <w:t xml:space="preserve"> plans,</w:t>
      </w:r>
      <w:r w:rsidRPr="00832287">
        <w:rPr>
          <w:rFonts w:ascii="Times New Roman" w:hAnsi="Times New Roman"/>
          <w:sz w:val="24"/>
        </w:rPr>
        <w:t xml:space="preserve"> </w:t>
      </w:r>
      <w:proofErr w:type="gramStart"/>
      <w:r w:rsidRPr="00832287">
        <w:rPr>
          <w:rFonts w:ascii="Times New Roman" w:hAnsi="Times New Roman"/>
          <w:sz w:val="24"/>
        </w:rPr>
        <w:t>goals</w:t>
      </w:r>
      <w:proofErr w:type="gramEnd"/>
      <w:r w:rsidRPr="00832287">
        <w:rPr>
          <w:rFonts w:ascii="Times New Roman" w:hAnsi="Times New Roman"/>
          <w:sz w:val="24"/>
        </w:rPr>
        <w:t xml:space="preserve"> and policies.</w:t>
      </w:r>
    </w:p>
    <w:p w14:paraId="1526DB2E" w14:textId="77777777" w:rsidR="006B529A" w:rsidRDefault="006B529A" w:rsidP="00832287">
      <w:pPr>
        <w:rPr>
          <w:rFonts w:ascii="Times New Roman" w:hAnsi="Times New Roman"/>
          <w:sz w:val="24"/>
        </w:rPr>
      </w:pPr>
    </w:p>
    <w:p w14:paraId="00F19780" w14:textId="647E19B6" w:rsidR="00DB7017" w:rsidRDefault="006B529A" w:rsidP="00832287">
      <w:pPr>
        <w:rPr>
          <w:rFonts w:ascii="Times New Roman" w:hAnsi="Times New Roman"/>
          <w:sz w:val="24"/>
        </w:rPr>
      </w:pPr>
      <w:r>
        <w:rPr>
          <w:rFonts w:ascii="Times New Roman" w:hAnsi="Times New Roman"/>
          <w:sz w:val="24"/>
        </w:rPr>
        <w:t>The Federal Lands Policy and Management Act (</w:t>
      </w:r>
      <w:r w:rsidR="00D35FEA" w:rsidRPr="00832287">
        <w:rPr>
          <w:rFonts w:ascii="Times New Roman" w:hAnsi="Times New Roman"/>
          <w:sz w:val="24"/>
        </w:rPr>
        <w:t>FLPMA</w:t>
      </w:r>
      <w:r>
        <w:rPr>
          <w:rFonts w:ascii="Times New Roman" w:hAnsi="Times New Roman"/>
          <w:sz w:val="24"/>
        </w:rPr>
        <w:t>)</w:t>
      </w:r>
      <w:r w:rsidR="00D35FEA" w:rsidRPr="00832287">
        <w:rPr>
          <w:rFonts w:ascii="Times New Roman" w:hAnsi="Times New Roman"/>
          <w:sz w:val="24"/>
        </w:rPr>
        <w:t xml:space="preserve"> requires cooperative planning and coordination with state and local government</w:t>
      </w:r>
      <w:r w:rsidR="00AE1F81">
        <w:rPr>
          <w:rFonts w:ascii="Times New Roman" w:hAnsi="Times New Roman"/>
          <w:sz w:val="24"/>
        </w:rPr>
        <w:t xml:space="preserve"> land use plans</w:t>
      </w:r>
      <w:r w:rsidR="00D35FEA" w:rsidRPr="00832287">
        <w:rPr>
          <w:rFonts w:ascii="Times New Roman" w:hAnsi="Times New Roman"/>
          <w:sz w:val="24"/>
        </w:rPr>
        <w:t>. BLM land management decisions are to be aligned with local land use plan</w:t>
      </w:r>
      <w:r w:rsidR="00DB7017">
        <w:rPr>
          <w:rFonts w:ascii="Times New Roman" w:hAnsi="Times New Roman"/>
          <w:sz w:val="24"/>
        </w:rPr>
        <w:t>s</w:t>
      </w:r>
      <w:r w:rsidR="005A5D4B">
        <w:rPr>
          <w:rFonts w:ascii="Times New Roman" w:hAnsi="Times New Roman"/>
          <w:sz w:val="24"/>
        </w:rPr>
        <w:t xml:space="preserve"> and policies </w:t>
      </w:r>
      <w:r w:rsidR="00D35FEA" w:rsidRPr="00832287">
        <w:rPr>
          <w:rFonts w:ascii="Times New Roman" w:hAnsi="Times New Roman"/>
          <w:sz w:val="24"/>
        </w:rPr>
        <w:t xml:space="preserve">to the maximum extent that is practicable and consistent with federal laws and regulations. BLM’s </w:t>
      </w:r>
      <w:r w:rsidR="001F68B6">
        <w:rPr>
          <w:rFonts w:ascii="Times New Roman" w:hAnsi="Times New Roman"/>
          <w:sz w:val="24"/>
        </w:rPr>
        <w:t>Proposed Rule</w:t>
      </w:r>
      <w:r w:rsidR="00D35FEA" w:rsidRPr="00832287">
        <w:rPr>
          <w:rFonts w:ascii="Times New Roman" w:hAnsi="Times New Roman"/>
          <w:sz w:val="24"/>
        </w:rPr>
        <w:t xml:space="preserve"> does not clearly define how conservation leases and the designation of </w:t>
      </w:r>
      <w:r>
        <w:rPr>
          <w:rFonts w:ascii="Times New Roman" w:hAnsi="Times New Roman"/>
          <w:sz w:val="24"/>
        </w:rPr>
        <w:t>Areas of Critical Environmental Concern (</w:t>
      </w:r>
      <w:r w:rsidR="00D35FEA" w:rsidRPr="00832287">
        <w:rPr>
          <w:rFonts w:ascii="Times New Roman" w:hAnsi="Times New Roman"/>
          <w:sz w:val="24"/>
        </w:rPr>
        <w:t>ACE</w:t>
      </w:r>
      <w:r>
        <w:rPr>
          <w:rFonts w:ascii="Times New Roman" w:hAnsi="Times New Roman"/>
          <w:sz w:val="24"/>
        </w:rPr>
        <w:t>C</w:t>
      </w:r>
      <w:r w:rsidR="001F68B6">
        <w:rPr>
          <w:rFonts w:ascii="Times New Roman" w:hAnsi="Times New Roman"/>
          <w:sz w:val="24"/>
        </w:rPr>
        <w:t>s</w:t>
      </w:r>
      <w:r>
        <w:rPr>
          <w:rFonts w:ascii="Times New Roman" w:hAnsi="Times New Roman"/>
          <w:sz w:val="24"/>
        </w:rPr>
        <w:t>)</w:t>
      </w:r>
      <w:r w:rsidR="00D35FEA" w:rsidRPr="00832287">
        <w:rPr>
          <w:rFonts w:ascii="Times New Roman" w:hAnsi="Times New Roman"/>
          <w:sz w:val="24"/>
        </w:rPr>
        <w:t xml:space="preserve"> will be </w:t>
      </w:r>
      <w:r w:rsidR="00976469">
        <w:rPr>
          <w:rFonts w:ascii="Times New Roman" w:hAnsi="Times New Roman"/>
          <w:sz w:val="24"/>
        </w:rPr>
        <w:t>coordinated</w:t>
      </w:r>
      <w:r w:rsidR="00976469" w:rsidRPr="00832287">
        <w:rPr>
          <w:rFonts w:ascii="Times New Roman" w:hAnsi="Times New Roman"/>
          <w:sz w:val="24"/>
        </w:rPr>
        <w:t xml:space="preserve"> </w:t>
      </w:r>
      <w:r w:rsidR="00D35FEA" w:rsidRPr="00832287">
        <w:rPr>
          <w:rFonts w:ascii="Times New Roman" w:hAnsi="Times New Roman"/>
          <w:sz w:val="24"/>
        </w:rPr>
        <w:t>with local land use plans</w:t>
      </w:r>
      <w:r w:rsidR="005A5D4B">
        <w:rPr>
          <w:rFonts w:ascii="Times New Roman" w:hAnsi="Times New Roman"/>
          <w:sz w:val="24"/>
        </w:rPr>
        <w:t xml:space="preserve"> and policies</w:t>
      </w:r>
      <w:r w:rsidR="00D35FEA" w:rsidRPr="00832287">
        <w:rPr>
          <w:rFonts w:ascii="Times New Roman" w:hAnsi="Times New Roman"/>
          <w:sz w:val="24"/>
        </w:rPr>
        <w:t xml:space="preserve">. </w:t>
      </w:r>
      <w:r w:rsidR="00976469">
        <w:rPr>
          <w:rFonts w:ascii="Times New Roman" w:hAnsi="Times New Roman"/>
          <w:sz w:val="24"/>
        </w:rPr>
        <w:t xml:space="preserve"> For example, the Proposed Rule includes a provision that </w:t>
      </w:r>
      <w:r w:rsidR="00D35FEA" w:rsidRPr="00832287">
        <w:rPr>
          <w:rFonts w:ascii="Times New Roman" w:hAnsi="Times New Roman"/>
          <w:sz w:val="24"/>
        </w:rPr>
        <w:t>“intact landscapes” be protected “from activities that would permanently or significantly disrupt, impair, or degrade the structure or functionality of intact landscapes”</w:t>
      </w:r>
      <w:r w:rsidR="00976469">
        <w:rPr>
          <w:rFonts w:ascii="Times New Roman" w:hAnsi="Times New Roman"/>
          <w:sz w:val="24"/>
        </w:rPr>
        <w:t xml:space="preserve">.  While the goal of this statement is laudable, it is blind to existing land use plans </w:t>
      </w:r>
      <w:r w:rsidR="005A5D4B">
        <w:rPr>
          <w:rFonts w:ascii="Times New Roman" w:hAnsi="Times New Roman"/>
          <w:sz w:val="24"/>
        </w:rPr>
        <w:t xml:space="preserve">and policies </w:t>
      </w:r>
      <w:r w:rsidR="00976469">
        <w:rPr>
          <w:rFonts w:ascii="Times New Roman" w:hAnsi="Times New Roman"/>
          <w:sz w:val="24"/>
        </w:rPr>
        <w:t xml:space="preserve">which may identify other uses and activities.  </w:t>
      </w:r>
    </w:p>
    <w:p w14:paraId="7648DE1E" w14:textId="77777777" w:rsidR="00DB7017" w:rsidRDefault="00DB7017" w:rsidP="00832287">
      <w:pPr>
        <w:rPr>
          <w:rFonts w:ascii="Times New Roman" w:hAnsi="Times New Roman"/>
          <w:sz w:val="24"/>
        </w:rPr>
      </w:pPr>
    </w:p>
    <w:p w14:paraId="7C61E287" w14:textId="299B527E" w:rsidR="00D35FEA" w:rsidRPr="00832287" w:rsidRDefault="00976469" w:rsidP="00832287">
      <w:pPr>
        <w:rPr>
          <w:rFonts w:ascii="Times New Roman" w:hAnsi="Times New Roman"/>
          <w:sz w:val="24"/>
        </w:rPr>
      </w:pPr>
      <w:r>
        <w:rPr>
          <w:rFonts w:ascii="Times New Roman" w:hAnsi="Times New Roman"/>
          <w:sz w:val="24"/>
        </w:rPr>
        <w:t xml:space="preserve">Furthermore, </w:t>
      </w:r>
      <w:r w:rsidR="00D35FEA" w:rsidRPr="00832287">
        <w:rPr>
          <w:rFonts w:ascii="Times New Roman" w:hAnsi="Times New Roman"/>
          <w:sz w:val="24"/>
        </w:rPr>
        <w:t xml:space="preserve">the definition of “intact landscapes” and the protections they would be given under this </w:t>
      </w:r>
      <w:r w:rsidR="004D4A1C">
        <w:rPr>
          <w:rFonts w:ascii="Times New Roman" w:hAnsi="Times New Roman"/>
          <w:sz w:val="24"/>
        </w:rPr>
        <w:t>Proposed Rule</w:t>
      </w:r>
      <w:r w:rsidR="00D35FEA" w:rsidRPr="00832287">
        <w:rPr>
          <w:rFonts w:ascii="Times New Roman" w:hAnsi="Times New Roman"/>
          <w:sz w:val="24"/>
        </w:rPr>
        <w:t xml:space="preserve"> </w:t>
      </w:r>
      <w:r>
        <w:rPr>
          <w:rFonts w:ascii="Times New Roman" w:hAnsi="Times New Roman"/>
          <w:sz w:val="24"/>
        </w:rPr>
        <w:t xml:space="preserve">are vague, ripe for </w:t>
      </w:r>
      <w:r w:rsidR="00D35FEA" w:rsidRPr="00832287">
        <w:rPr>
          <w:rFonts w:ascii="Times New Roman" w:hAnsi="Times New Roman"/>
          <w:sz w:val="24"/>
        </w:rPr>
        <w:t xml:space="preserve">misinterpretation, and </w:t>
      </w:r>
      <w:r w:rsidR="00C22198">
        <w:rPr>
          <w:rFonts w:ascii="Times New Roman" w:hAnsi="Times New Roman"/>
          <w:sz w:val="24"/>
        </w:rPr>
        <w:t xml:space="preserve">could inadvertently restrict or preclude </w:t>
      </w:r>
      <w:r w:rsidR="00D35FEA" w:rsidRPr="00832287">
        <w:rPr>
          <w:rFonts w:ascii="Times New Roman" w:hAnsi="Times New Roman"/>
          <w:sz w:val="24"/>
        </w:rPr>
        <w:t xml:space="preserve">beneficial </w:t>
      </w:r>
      <w:r w:rsidR="00C22198">
        <w:rPr>
          <w:rFonts w:ascii="Times New Roman" w:hAnsi="Times New Roman"/>
          <w:sz w:val="24"/>
        </w:rPr>
        <w:t xml:space="preserve">land practices if characterized as </w:t>
      </w:r>
      <w:r w:rsidR="00D35FEA" w:rsidRPr="00832287">
        <w:rPr>
          <w:rFonts w:ascii="Times New Roman" w:hAnsi="Times New Roman"/>
          <w:sz w:val="24"/>
        </w:rPr>
        <w:t xml:space="preserve">“land disturbances”. For example, </w:t>
      </w:r>
      <w:r w:rsidR="00C22198">
        <w:rPr>
          <w:rFonts w:ascii="Times New Roman" w:hAnsi="Times New Roman"/>
          <w:sz w:val="24"/>
        </w:rPr>
        <w:t>as currently written, common and beneficial conservation activities such as</w:t>
      </w:r>
      <w:r w:rsidR="004A2710">
        <w:rPr>
          <w:rFonts w:ascii="Times New Roman" w:hAnsi="Times New Roman"/>
          <w:sz w:val="24"/>
        </w:rPr>
        <w:t xml:space="preserve"> </w:t>
      </w:r>
      <w:r w:rsidR="00D35FEA" w:rsidRPr="00832287">
        <w:rPr>
          <w:rFonts w:ascii="Times New Roman" w:hAnsi="Times New Roman"/>
          <w:sz w:val="24"/>
        </w:rPr>
        <w:t xml:space="preserve">pinyon-juniper </w:t>
      </w:r>
      <w:r w:rsidR="005A5D4B">
        <w:rPr>
          <w:rFonts w:ascii="Times New Roman" w:hAnsi="Times New Roman"/>
          <w:sz w:val="24"/>
        </w:rPr>
        <w:t xml:space="preserve">encroachment </w:t>
      </w:r>
      <w:r w:rsidR="00D35FEA" w:rsidRPr="00832287">
        <w:rPr>
          <w:rFonts w:ascii="Times New Roman" w:hAnsi="Times New Roman"/>
          <w:sz w:val="24"/>
        </w:rPr>
        <w:t xml:space="preserve">removal, livestock grazing, </w:t>
      </w:r>
      <w:r w:rsidR="00C22198">
        <w:rPr>
          <w:rFonts w:ascii="Times New Roman" w:hAnsi="Times New Roman"/>
          <w:sz w:val="24"/>
        </w:rPr>
        <w:t xml:space="preserve">and </w:t>
      </w:r>
      <w:r w:rsidR="00D35FEA" w:rsidRPr="00832287">
        <w:rPr>
          <w:rFonts w:ascii="Times New Roman" w:hAnsi="Times New Roman"/>
          <w:sz w:val="24"/>
        </w:rPr>
        <w:t>invasive weed treatments</w:t>
      </w:r>
      <w:r w:rsidR="00C22198">
        <w:rPr>
          <w:rFonts w:ascii="Times New Roman" w:hAnsi="Times New Roman"/>
          <w:sz w:val="24"/>
        </w:rPr>
        <w:t xml:space="preserve"> could </w:t>
      </w:r>
      <w:r w:rsidR="00D35FEA" w:rsidRPr="00832287">
        <w:rPr>
          <w:rFonts w:ascii="Times New Roman" w:hAnsi="Times New Roman"/>
          <w:sz w:val="24"/>
        </w:rPr>
        <w:t xml:space="preserve">be </w:t>
      </w:r>
      <w:r w:rsidR="00C22198">
        <w:rPr>
          <w:rFonts w:ascii="Times New Roman" w:hAnsi="Times New Roman"/>
          <w:sz w:val="24"/>
        </w:rPr>
        <w:t xml:space="preserve">prevented from occurring if considered as </w:t>
      </w:r>
      <w:r w:rsidR="00D35FEA" w:rsidRPr="00832287">
        <w:rPr>
          <w:rFonts w:ascii="Times New Roman" w:hAnsi="Times New Roman"/>
          <w:sz w:val="24"/>
        </w:rPr>
        <w:t>“activities that would permanently or significantly disrupt, impair, or degrade the structure or functionality of intact landscapes”</w:t>
      </w:r>
      <w:r w:rsidR="00C22198">
        <w:rPr>
          <w:rFonts w:ascii="Times New Roman" w:hAnsi="Times New Roman"/>
          <w:sz w:val="24"/>
        </w:rPr>
        <w:t>, and essentially undermine the purpose of the Proposed Rule.</w:t>
      </w:r>
      <w:r w:rsidR="00D35FEA" w:rsidRPr="00832287">
        <w:rPr>
          <w:rFonts w:ascii="Times New Roman" w:hAnsi="Times New Roman"/>
          <w:sz w:val="24"/>
        </w:rPr>
        <w:t xml:space="preserve"> </w:t>
      </w:r>
      <w:r w:rsidR="00C22198">
        <w:rPr>
          <w:rFonts w:ascii="Times New Roman" w:hAnsi="Times New Roman"/>
          <w:sz w:val="24"/>
        </w:rPr>
        <w:t xml:space="preserve">Therefore, SLUPAC suggests the BLM clarify </w:t>
      </w:r>
      <w:r w:rsidR="005A5D4B">
        <w:rPr>
          <w:rFonts w:ascii="Times New Roman" w:hAnsi="Times New Roman"/>
          <w:sz w:val="24"/>
        </w:rPr>
        <w:t xml:space="preserve">and clearly define </w:t>
      </w:r>
      <w:r w:rsidR="00C22198">
        <w:rPr>
          <w:rFonts w:ascii="Times New Roman" w:hAnsi="Times New Roman"/>
          <w:sz w:val="24"/>
        </w:rPr>
        <w:t>how the Proposed Rule</w:t>
      </w:r>
      <w:r w:rsidR="005A5D4B">
        <w:rPr>
          <w:rFonts w:ascii="Times New Roman" w:hAnsi="Times New Roman"/>
          <w:sz w:val="24"/>
        </w:rPr>
        <w:t xml:space="preserve"> and actions flowing from it</w:t>
      </w:r>
      <w:r w:rsidR="00C22198">
        <w:rPr>
          <w:rFonts w:ascii="Times New Roman" w:hAnsi="Times New Roman"/>
          <w:sz w:val="24"/>
        </w:rPr>
        <w:t xml:space="preserve"> will </w:t>
      </w:r>
      <w:r w:rsidR="005A5D4B">
        <w:rPr>
          <w:rFonts w:ascii="Times New Roman" w:hAnsi="Times New Roman"/>
          <w:sz w:val="24"/>
        </w:rPr>
        <w:t xml:space="preserve">be </w:t>
      </w:r>
      <w:r w:rsidR="00C22198">
        <w:rPr>
          <w:rFonts w:ascii="Times New Roman" w:hAnsi="Times New Roman"/>
          <w:sz w:val="24"/>
        </w:rPr>
        <w:t>coordinate</w:t>
      </w:r>
      <w:r w:rsidR="005A5D4B">
        <w:rPr>
          <w:rFonts w:ascii="Times New Roman" w:hAnsi="Times New Roman"/>
          <w:sz w:val="24"/>
        </w:rPr>
        <w:t>d</w:t>
      </w:r>
      <w:r w:rsidR="00C22198">
        <w:rPr>
          <w:rFonts w:ascii="Times New Roman" w:hAnsi="Times New Roman"/>
          <w:sz w:val="24"/>
        </w:rPr>
        <w:t xml:space="preserve"> and align with </w:t>
      </w:r>
      <w:r w:rsidR="00D35FEA" w:rsidRPr="00832287">
        <w:rPr>
          <w:rFonts w:ascii="Times New Roman" w:hAnsi="Times New Roman"/>
          <w:sz w:val="24"/>
        </w:rPr>
        <w:t xml:space="preserve">local land use plans </w:t>
      </w:r>
      <w:r w:rsidR="005A5D4B">
        <w:rPr>
          <w:rFonts w:ascii="Times New Roman" w:hAnsi="Times New Roman"/>
          <w:sz w:val="24"/>
        </w:rPr>
        <w:t>and policies</w:t>
      </w:r>
      <w:r w:rsidR="002E6676">
        <w:rPr>
          <w:rFonts w:ascii="Times New Roman" w:hAnsi="Times New Roman"/>
          <w:sz w:val="24"/>
        </w:rPr>
        <w:t xml:space="preserve">. </w:t>
      </w:r>
      <w:r w:rsidR="00DB7017">
        <w:rPr>
          <w:rFonts w:ascii="Times New Roman" w:hAnsi="Times New Roman"/>
          <w:sz w:val="24"/>
        </w:rPr>
        <w:t>Additionally,</w:t>
      </w:r>
      <w:r w:rsidR="002E6676">
        <w:rPr>
          <w:rFonts w:ascii="Times New Roman" w:hAnsi="Times New Roman"/>
          <w:sz w:val="24"/>
        </w:rPr>
        <w:t xml:space="preserve"> SLUPAC </w:t>
      </w:r>
      <w:r w:rsidR="00DA32E3">
        <w:rPr>
          <w:rFonts w:ascii="Times New Roman" w:hAnsi="Times New Roman"/>
          <w:sz w:val="24"/>
        </w:rPr>
        <w:t>would like clarification on how the</w:t>
      </w:r>
      <w:r w:rsidR="002E6676">
        <w:rPr>
          <w:rFonts w:ascii="Times New Roman" w:hAnsi="Times New Roman"/>
          <w:sz w:val="24"/>
        </w:rPr>
        <w:t xml:space="preserve"> BLM</w:t>
      </w:r>
      <w:r w:rsidR="00DA32E3">
        <w:rPr>
          <w:rFonts w:ascii="Times New Roman" w:hAnsi="Times New Roman"/>
          <w:sz w:val="24"/>
        </w:rPr>
        <w:t xml:space="preserve"> will address any</w:t>
      </w:r>
      <w:r w:rsidR="005A5D4B">
        <w:rPr>
          <w:rFonts w:ascii="Times New Roman" w:hAnsi="Times New Roman"/>
          <w:sz w:val="24"/>
        </w:rPr>
        <w:t xml:space="preserve"> inconsistencies with local plans and policies. There is an imperative </w:t>
      </w:r>
      <w:r w:rsidR="00191137">
        <w:rPr>
          <w:rFonts w:ascii="Times New Roman" w:hAnsi="Times New Roman"/>
          <w:sz w:val="24"/>
        </w:rPr>
        <w:t>need</w:t>
      </w:r>
      <w:r w:rsidR="005A5D4B">
        <w:rPr>
          <w:rFonts w:ascii="Times New Roman" w:hAnsi="Times New Roman"/>
          <w:sz w:val="24"/>
        </w:rPr>
        <w:t xml:space="preserve"> to </w:t>
      </w:r>
      <w:r w:rsidR="00C22198">
        <w:rPr>
          <w:rFonts w:ascii="Times New Roman" w:hAnsi="Times New Roman"/>
          <w:sz w:val="24"/>
        </w:rPr>
        <w:t>clarify and better define conservation provisions to avoid misinterpretation and misapplication</w:t>
      </w:r>
      <w:r w:rsidR="00D35FEA" w:rsidRPr="00832287">
        <w:rPr>
          <w:rFonts w:ascii="Times New Roman" w:hAnsi="Times New Roman"/>
          <w:sz w:val="24"/>
        </w:rPr>
        <w:t xml:space="preserve">.   </w:t>
      </w:r>
    </w:p>
    <w:p w14:paraId="438CE885" w14:textId="77777777" w:rsidR="00D35FEA" w:rsidRPr="00832287" w:rsidRDefault="00D35FEA" w:rsidP="00832287">
      <w:pPr>
        <w:rPr>
          <w:rFonts w:ascii="Times New Roman" w:hAnsi="Times New Roman"/>
          <w:sz w:val="24"/>
        </w:rPr>
      </w:pPr>
    </w:p>
    <w:p w14:paraId="1949785D" w14:textId="6BAE590F" w:rsidR="00D35FEA" w:rsidRPr="00832287" w:rsidRDefault="00D35FEA" w:rsidP="00832287">
      <w:pPr>
        <w:rPr>
          <w:rFonts w:ascii="Times New Roman" w:hAnsi="Times New Roman"/>
          <w:b/>
          <w:bCs/>
          <w:sz w:val="24"/>
          <w:u w:val="single"/>
        </w:rPr>
      </w:pPr>
      <w:r w:rsidRPr="00832287">
        <w:rPr>
          <w:rFonts w:ascii="Times New Roman" w:hAnsi="Times New Roman"/>
          <w:b/>
          <w:bCs/>
          <w:sz w:val="24"/>
          <w:u w:val="single"/>
        </w:rPr>
        <w:t>Proposed Rule and the National Environmental Policy Act</w:t>
      </w:r>
      <w:r w:rsidR="004D4A1C">
        <w:rPr>
          <w:rFonts w:ascii="Times New Roman" w:hAnsi="Times New Roman"/>
          <w:b/>
          <w:bCs/>
          <w:sz w:val="24"/>
          <w:u w:val="single"/>
        </w:rPr>
        <w:t xml:space="preserve"> (NEPA)</w:t>
      </w:r>
    </w:p>
    <w:p w14:paraId="68CD7FC8" w14:textId="77777777" w:rsidR="00D35FEA" w:rsidRPr="00832287" w:rsidRDefault="00D35FEA" w:rsidP="00832287">
      <w:pPr>
        <w:rPr>
          <w:rFonts w:ascii="Times New Roman" w:hAnsi="Times New Roman"/>
          <w:b/>
          <w:bCs/>
          <w:sz w:val="24"/>
          <w:u w:val="single"/>
        </w:rPr>
      </w:pPr>
    </w:p>
    <w:p w14:paraId="7A5EB53B" w14:textId="46B88803" w:rsidR="00C22198" w:rsidRDefault="00C22198" w:rsidP="00832287">
      <w:pPr>
        <w:rPr>
          <w:rFonts w:ascii="Times New Roman" w:hAnsi="Times New Roman"/>
          <w:sz w:val="24"/>
        </w:rPr>
      </w:pPr>
      <w:r>
        <w:rPr>
          <w:rFonts w:ascii="Times New Roman" w:hAnsi="Times New Roman"/>
          <w:sz w:val="24"/>
        </w:rPr>
        <w:t>T</w:t>
      </w:r>
      <w:r w:rsidR="00D35FEA" w:rsidRPr="00832287">
        <w:rPr>
          <w:rFonts w:ascii="Times New Roman" w:hAnsi="Times New Roman"/>
          <w:sz w:val="24"/>
        </w:rPr>
        <w:t>h</w:t>
      </w:r>
      <w:r>
        <w:rPr>
          <w:rFonts w:ascii="Times New Roman" w:hAnsi="Times New Roman"/>
          <w:sz w:val="24"/>
        </w:rPr>
        <w:t>e</w:t>
      </w:r>
      <w:r w:rsidR="00D35FEA" w:rsidRPr="00832287">
        <w:rPr>
          <w:rFonts w:ascii="Times New Roman" w:hAnsi="Times New Roman"/>
          <w:sz w:val="24"/>
        </w:rPr>
        <w:t xml:space="preserve"> </w:t>
      </w:r>
      <w:r>
        <w:rPr>
          <w:rFonts w:ascii="Times New Roman" w:hAnsi="Times New Roman"/>
          <w:sz w:val="24"/>
        </w:rPr>
        <w:t>P</w:t>
      </w:r>
      <w:r w:rsidR="00AE1F81">
        <w:rPr>
          <w:rFonts w:ascii="Times New Roman" w:hAnsi="Times New Roman"/>
          <w:sz w:val="24"/>
        </w:rPr>
        <w:t xml:space="preserve">roposed </w:t>
      </w:r>
      <w:r>
        <w:rPr>
          <w:rFonts w:ascii="Times New Roman" w:hAnsi="Times New Roman"/>
          <w:sz w:val="24"/>
        </w:rPr>
        <w:t>R</w:t>
      </w:r>
      <w:r w:rsidR="00AE1F81">
        <w:rPr>
          <w:rFonts w:ascii="Times New Roman" w:hAnsi="Times New Roman"/>
          <w:sz w:val="24"/>
        </w:rPr>
        <w:t>ule</w:t>
      </w:r>
      <w:r w:rsidR="00D35FEA" w:rsidRPr="00832287">
        <w:rPr>
          <w:rFonts w:ascii="Times New Roman" w:hAnsi="Times New Roman"/>
          <w:sz w:val="24"/>
        </w:rPr>
        <w:t xml:space="preserve"> represents a significant shift in </w:t>
      </w:r>
      <w:r>
        <w:rPr>
          <w:rFonts w:ascii="Times New Roman" w:hAnsi="Times New Roman"/>
          <w:sz w:val="24"/>
        </w:rPr>
        <w:t xml:space="preserve">the BLM’s </w:t>
      </w:r>
      <w:r w:rsidR="00D35FEA" w:rsidRPr="00832287">
        <w:rPr>
          <w:rFonts w:ascii="Times New Roman" w:hAnsi="Times New Roman"/>
          <w:sz w:val="24"/>
        </w:rPr>
        <w:t>land management policy</w:t>
      </w:r>
      <w:r>
        <w:rPr>
          <w:rFonts w:ascii="Times New Roman" w:hAnsi="Times New Roman"/>
          <w:sz w:val="24"/>
        </w:rPr>
        <w:t xml:space="preserve">. Given the potential conflict with local land use plans </w:t>
      </w:r>
      <w:r w:rsidR="005A5D4B">
        <w:rPr>
          <w:rFonts w:ascii="Times New Roman" w:hAnsi="Times New Roman"/>
          <w:sz w:val="24"/>
        </w:rPr>
        <w:t xml:space="preserve">and policies </w:t>
      </w:r>
      <w:r>
        <w:rPr>
          <w:rFonts w:ascii="Times New Roman" w:hAnsi="Times New Roman"/>
          <w:sz w:val="24"/>
        </w:rPr>
        <w:t>as well as the potential for</w:t>
      </w:r>
      <w:r w:rsidR="00D35FEA" w:rsidRPr="00832287">
        <w:rPr>
          <w:rFonts w:ascii="Times New Roman" w:hAnsi="Times New Roman"/>
          <w:sz w:val="24"/>
        </w:rPr>
        <w:t xml:space="preserve"> </w:t>
      </w:r>
      <w:r>
        <w:rPr>
          <w:rFonts w:ascii="Times New Roman" w:hAnsi="Times New Roman"/>
          <w:sz w:val="24"/>
        </w:rPr>
        <w:t xml:space="preserve">other </w:t>
      </w:r>
      <w:r w:rsidR="00D35FEA" w:rsidRPr="00832287">
        <w:rPr>
          <w:rFonts w:ascii="Times New Roman" w:hAnsi="Times New Roman"/>
          <w:sz w:val="24"/>
        </w:rPr>
        <w:t>socioeconomic and environmental impacts, promulgation of this new rule should undergo a thorough</w:t>
      </w:r>
      <w:r>
        <w:rPr>
          <w:rFonts w:ascii="Times New Roman" w:hAnsi="Times New Roman"/>
          <w:sz w:val="24"/>
        </w:rPr>
        <w:t xml:space="preserve"> evaluation under a</w:t>
      </w:r>
      <w:r w:rsidR="00D35FEA" w:rsidRPr="00832287">
        <w:rPr>
          <w:rFonts w:ascii="Times New Roman" w:hAnsi="Times New Roman"/>
          <w:sz w:val="24"/>
        </w:rPr>
        <w:t xml:space="preserve"> Programmatic Environmental Impact Statement (PEIS). </w:t>
      </w:r>
    </w:p>
    <w:p w14:paraId="116296B7" w14:textId="77777777" w:rsidR="00C22198" w:rsidRDefault="00C22198" w:rsidP="00832287">
      <w:pPr>
        <w:rPr>
          <w:rFonts w:ascii="Times New Roman" w:hAnsi="Times New Roman"/>
          <w:sz w:val="24"/>
        </w:rPr>
      </w:pPr>
    </w:p>
    <w:p w14:paraId="329B4A19" w14:textId="5854D318" w:rsidR="00D35FEA" w:rsidRDefault="00C22198" w:rsidP="00832287">
      <w:pPr>
        <w:rPr>
          <w:rFonts w:ascii="Times New Roman" w:hAnsi="Times New Roman"/>
          <w:sz w:val="24"/>
        </w:rPr>
      </w:pPr>
      <w:r>
        <w:rPr>
          <w:rFonts w:ascii="Times New Roman" w:hAnsi="Times New Roman"/>
          <w:sz w:val="24"/>
        </w:rPr>
        <w:t>T</w:t>
      </w:r>
      <w:r w:rsidR="00D35FEA" w:rsidRPr="00832287">
        <w:rPr>
          <w:rFonts w:ascii="Times New Roman" w:hAnsi="Times New Roman"/>
          <w:sz w:val="24"/>
        </w:rPr>
        <w:t xml:space="preserve">he Federal Register Notice of Intent for this </w:t>
      </w:r>
      <w:r w:rsidR="004D4A1C">
        <w:rPr>
          <w:rFonts w:ascii="Times New Roman" w:hAnsi="Times New Roman"/>
          <w:sz w:val="24"/>
        </w:rPr>
        <w:t>Proposed Rule</w:t>
      </w:r>
      <w:r w:rsidR="00D35FEA" w:rsidRPr="00832287">
        <w:rPr>
          <w:rFonts w:ascii="Times New Roman" w:hAnsi="Times New Roman"/>
          <w:sz w:val="24"/>
        </w:rPr>
        <w:t xml:space="preserve"> states the “BLM intends to apply the Department Categorical Exclusion (CX) at 43 CFR 46.21(i) to comply with the National Environmental </w:t>
      </w:r>
      <w:r w:rsidR="00D35FEA" w:rsidRPr="00832287">
        <w:rPr>
          <w:rFonts w:ascii="Times New Roman" w:hAnsi="Times New Roman"/>
          <w:sz w:val="24"/>
        </w:rPr>
        <w:lastRenderedPageBreak/>
        <w:t xml:space="preserve">Policy Act.”  According to </w:t>
      </w:r>
      <w:r w:rsidR="00213CC1">
        <w:rPr>
          <w:rFonts w:ascii="Times New Roman" w:hAnsi="Times New Roman"/>
          <w:sz w:val="24"/>
        </w:rPr>
        <w:t xml:space="preserve">NEPA and </w:t>
      </w:r>
      <w:r w:rsidR="00D35FEA" w:rsidRPr="00832287">
        <w:rPr>
          <w:rFonts w:ascii="Times New Roman" w:hAnsi="Times New Roman"/>
          <w:sz w:val="24"/>
        </w:rPr>
        <w:t xml:space="preserve">the BLM’s NEPA Handbook, a CX should not be allowed. </w:t>
      </w:r>
      <w:r w:rsidR="00213CC1">
        <w:rPr>
          <w:rFonts w:ascii="Times New Roman" w:hAnsi="Times New Roman"/>
          <w:sz w:val="24"/>
        </w:rPr>
        <w:t>S</w:t>
      </w:r>
      <w:r w:rsidR="00D35FEA" w:rsidRPr="00832287">
        <w:rPr>
          <w:rFonts w:ascii="Times New Roman" w:hAnsi="Times New Roman"/>
          <w:sz w:val="24"/>
        </w:rPr>
        <w:t>ection 3.2.1 Policies and Rulemaking, the NEPA Handbook states:</w:t>
      </w:r>
    </w:p>
    <w:p w14:paraId="36019947" w14:textId="77777777" w:rsidR="00280672" w:rsidRPr="00832287" w:rsidRDefault="00280672" w:rsidP="00832287">
      <w:pPr>
        <w:rPr>
          <w:rFonts w:ascii="Times New Roman" w:hAnsi="Times New Roman"/>
          <w:sz w:val="24"/>
        </w:rPr>
      </w:pPr>
    </w:p>
    <w:p w14:paraId="0A767169" w14:textId="77777777" w:rsidR="00D35FEA" w:rsidRPr="00832287" w:rsidRDefault="00D35FEA" w:rsidP="00832287">
      <w:pPr>
        <w:pStyle w:val="ListParagraph"/>
        <w:numPr>
          <w:ilvl w:val="0"/>
          <w:numId w:val="2"/>
        </w:numPr>
        <w:ind w:left="360"/>
      </w:pPr>
      <w:r w:rsidRPr="00832287">
        <w:t>“The CEQ regulations define major federal actions to include adoption of official policy (that is, rules and regulations), adoption of formal plans, adoption of programs, and approval of specific projects.” p. 13</w:t>
      </w:r>
      <w:r w:rsidRPr="00832287">
        <w:br/>
      </w:r>
    </w:p>
    <w:p w14:paraId="7CE971D4" w14:textId="5C4D8D10" w:rsidR="00D35FEA" w:rsidRPr="00832287" w:rsidRDefault="00D35FEA" w:rsidP="00832287">
      <w:pPr>
        <w:pStyle w:val="ListParagraph"/>
        <w:ind w:left="0"/>
      </w:pPr>
      <w:r w:rsidRPr="00832287">
        <w:t xml:space="preserve">All rulemakings, including the </w:t>
      </w:r>
      <w:r w:rsidR="004D4A1C">
        <w:t>Proposed Rule</w:t>
      </w:r>
      <w:r w:rsidRPr="00832287">
        <w:t>, are therefore “major Federal actions.”  The NEPA Handbook also prescribes a 3-part test to determine whether a rule warrants a full EIS under NEPA:</w:t>
      </w:r>
      <w:r w:rsidRPr="00832287">
        <w:br/>
      </w:r>
    </w:p>
    <w:p w14:paraId="22C0C40F" w14:textId="77777777" w:rsidR="00D35FEA" w:rsidRPr="00832287" w:rsidRDefault="00D35FEA" w:rsidP="00280672">
      <w:pPr>
        <w:pStyle w:val="ListParagraph"/>
        <w:numPr>
          <w:ilvl w:val="0"/>
          <w:numId w:val="2"/>
        </w:numPr>
        <w:ind w:left="360"/>
      </w:pPr>
      <w:r w:rsidRPr="00832287">
        <w:t>“When we propose a policy, we must evaluate it to determine whether it is a major Federal action significantly affecting the quality of the human environment, and thus triggers the need to prepare an EIS (40 CFR 1502.4(b)). This evaluation involves a three-part test to determine whether the following apply: the action must (1) be federally approved or conducted, (2) major, and (3) have a significant environmental impact. However, it is not always as clear whether a proposed policy will affect the human environment. The BLM must evaluate if the proposed action would authorize any activity or commit any resources, thus affecting the human environment (40 CFR 1508.18).” p. 14</w:t>
      </w:r>
      <w:r w:rsidRPr="00832287">
        <w:br/>
      </w:r>
    </w:p>
    <w:p w14:paraId="582E389B" w14:textId="3046A592" w:rsidR="00D35FEA" w:rsidRPr="00832287" w:rsidRDefault="00213CC1" w:rsidP="00832287">
      <w:pPr>
        <w:pStyle w:val="ListParagraph"/>
        <w:ind w:left="0"/>
      </w:pPr>
      <w:r>
        <w:t>SLUPAC maintains that by virtue of c</w:t>
      </w:r>
      <w:r w:rsidR="00D35FEA" w:rsidRPr="00832287">
        <w:t>reating a</w:t>
      </w:r>
      <w:r>
        <w:t xml:space="preserve"> </w:t>
      </w:r>
      <w:r w:rsidR="00D35FEA" w:rsidRPr="00832287">
        <w:t xml:space="preserve">new category of “use” under the BLM’s Federal Land Management multiple use mandate, </w:t>
      </w:r>
      <w:r>
        <w:t xml:space="preserve">which could be applied </w:t>
      </w:r>
      <w:r w:rsidR="00D35FEA" w:rsidRPr="00832287">
        <w:t>across millions of acres</w:t>
      </w:r>
      <w:r>
        <w:t xml:space="preserve"> under BLM management in Nevada,</w:t>
      </w:r>
      <w:r w:rsidR="00D35FEA" w:rsidRPr="00832287">
        <w:t xml:space="preserve"> </w:t>
      </w:r>
      <w:r>
        <w:t>all three elements of the 3-part test apply</w:t>
      </w:r>
      <w:r w:rsidR="00DA72FA">
        <w:t xml:space="preserve">. </w:t>
      </w:r>
      <w:r w:rsidR="00DA72FA" w:rsidRPr="00832287">
        <w:t xml:space="preserve">In the same way that the creation of competitive leasing program for solar required an EIS in 2012, so too should the creation of yet another leasing mechanism be subject to NEPA and a full EIS. </w:t>
      </w:r>
      <w:r w:rsidR="00DA72FA">
        <w:t>Therefore,</w:t>
      </w:r>
      <w:r>
        <w:t xml:space="preserve"> a full EIS is warranted and required.  </w:t>
      </w:r>
    </w:p>
    <w:p w14:paraId="003E8541" w14:textId="77777777" w:rsidR="00D35FEA" w:rsidRPr="00832287" w:rsidRDefault="00D35FEA" w:rsidP="00832287">
      <w:pPr>
        <w:pStyle w:val="ListParagraph"/>
        <w:ind w:left="0"/>
      </w:pPr>
    </w:p>
    <w:p w14:paraId="798AB426" w14:textId="2533DA5A" w:rsidR="00D35FEA" w:rsidRPr="00832287" w:rsidRDefault="00D35FEA" w:rsidP="00213CC1">
      <w:pPr>
        <w:pStyle w:val="ListParagraph"/>
        <w:ind w:left="0"/>
      </w:pPr>
      <w:r w:rsidRPr="00832287">
        <w:t xml:space="preserve">Furthermore, with multiple landscape level resource management changes currently underway (Western Solar PEIS update, Sage Grouse Plan Amendments, and Revision of Grazing Regulations), the BLM has a responsibility to consider </w:t>
      </w:r>
      <w:r w:rsidR="00213CC1">
        <w:t xml:space="preserve">the </w:t>
      </w:r>
      <w:r w:rsidRPr="00832287">
        <w:t xml:space="preserve">potential cumulative impacts with this </w:t>
      </w:r>
      <w:r w:rsidR="004D4A1C">
        <w:t>Proposed Rule</w:t>
      </w:r>
      <w:r w:rsidRPr="00832287">
        <w:t xml:space="preserve"> as stipulated in NEPA</w:t>
      </w:r>
      <w:r w:rsidR="003638CA">
        <w:t>.</w:t>
      </w:r>
      <w:r w:rsidRPr="00832287">
        <w:t xml:space="preserve"> </w:t>
      </w:r>
    </w:p>
    <w:p w14:paraId="592E1615" w14:textId="7434BF16" w:rsidR="00D35FEA" w:rsidRPr="00832287" w:rsidRDefault="00D35FEA" w:rsidP="00213CC1">
      <w:pPr>
        <w:pStyle w:val="ListParagraph"/>
        <w:ind w:left="0"/>
      </w:pPr>
    </w:p>
    <w:p w14:paraId="7C1CD62D" w14:textId="418D9BAE" w:rsidR="00D35FEA" w:rsidRPr="00832287" w:rsidRDefault="00213CC1" w:rsidP="00832287">
      <w:pPr>
        <w:rPr>
          <w:rFonts w:ascii="Times New Roman" w:hAnsi="Times New Roman"/>
          <w:sz w:val="24"/>
        </w:rPr>
      </w:pPr>
      <w:r>
        <w:rPr>
          <w:rFonts w:ascii="Times New Roman" w:hAnsi="Times New Roman"/>
          <w:sz w:val="24"/>
        </w:rPr>
        <w:t>Undertaking a</w:t>
      </w:r>
      <w:r w:rsidR="00D35FEA" w:rsidRPr="00832287">
        <w:rPr>
          <w:rFonts w:ascii="Times New Roman" w:hAnsi="Times New Roman"/>
          <w:sz w:val="24"/>
        </w:rPr>
        <w:t xml:space="preserve"> NEPA analysis</w:t>
      </w:r>
      <w:r>
        <w:rPr>
          <w:rFonts w:ascii="Times New Roman" w:hAnsi="Times New Roman"/>
          <w:sz w:val="24"/>
        </w:rPr>
        <w:t xml:space="preserve"> would also grant State, </w:t>
      </w:r>
      <w:r w:rsidR="00E67E16">
        <w:rPr>
          <w:rFonts w:ascii="Times New Roman" w:hAnsi="Times New Roman"/>
          <w:sz w:val="24"/>
        </w:rPr>
        <w:t xml:space="preserve">Federal recognized Indian </w:t>
      </w:r>
      <w:proofErr w:type="gramStart"/>
      <w:r w:rsidR="00E67E16">
        <w:rPr>
          <w:rFonts w:ascii="Times New Roman" w:hAnsi="Times New Roman"/>
          <w:sz w:val="24"/>
        </w:rPr>
        <w:t>Tribes</w:t>
      </w:r>
      <w:proofErr w:type="gramEnd"/>
      <w:r>
        <w:rPr>
          <w:rFonts w:ascii="Times New Roman" w:hAnsi="Times New Roman"/>
          <w:sz w:val="24"/>
        </w:rPr>
        <w:t xml:space="preserve"> and Local Governments their right under the law to participate in the analysis</w:t>
      </w:r>
      <w:r w:rsidR="00DA32E3">
        <w:rPr>
          <w:rFonts w:ascii="Times New Roman" w:hAnsi="Times New Roman"/>
          <w:sz w:val="24"/>
        </w:rPr>
        <w:t xml:space="preserve"> </w:t>
      </w:r>
      <w:r>
        <w:rPr>
          <w:rFonts w:ascii="Times New Roman" w:hAnsi="Times New Roman"/>
          <w:sz w:val="24"/>
        </w:rPr>
        <w:t xml:space="preserve">as Cooperating Agencies </w:t>
      </w:r>
      <w:r w:rsidR="003638CA">
        <w:rPr>
          <w:rFonts w:ascii="Times New Roman" w:hAnsi="Times New Roman"/>
          <w:sz w:val="24"/>
        </w:rPr>
        <w:t xml:space="preserve">(CA) </w:t>
      </w:r>
      <w:r>
        <w:rPr>
          <w:rFonts w:ascii="Times New Roman" w:hAnsi="Times New Roman"/>
          <w:sz w:val="24"/>
        </w:rPr>
        <w:t xml:space="preserve">and through required public comment periods.  </w:t>
      </w:r>
      <w:r w:rsidR="00DA72FA" w:rsidRPr="00832287">
        <w:rPr>
          <w:rFonts w:ascii="Times New Roman" w:hAnsi="Times New Roman"/>
          <w:sz w:val="24"/>
        </w:rPr>
        <w:t xml:space="preserve">Localized CA engagement would enable the BLM to receive important, community-level socioeconomic data and input regarding the potential impacts of the </w:t>
      </w:r>
      <w:r w:rsidR="00191137">
        <w:rPr>
          <w:rFonts w:ascii="Times New Roman" w:hAnsi="Times New Roman"/>
          <w:sz w:val="24"/>
        </w:rPr>
        <w:t>Proposed Rule</w:t>
      </w:r>
      <w:r w:rsidR="00DA72FA" w:rsidRPr="00832287">
        <w:rPr>
          <w:rFonts w:ascii="Times New Roman" w:hAnsi="Times New Roman"/>
          <w:sz w:val="24"/>
        </w:rPr>
        <w:t xml:space="preserve">, as well as ensure </w:t>
      </w:r>
      <w:r w:rsidR="00DA72FA">
        <w:rPr>
          <w:rFonts w:ascii="Times New Roman" w:hAnsi="Times New Roman"/>
          <w:sz w:val="24"/>
        </w:rPr>
        <w:t xml:space="preserve">it </w:t>
      </w:r>
      <w:r w:rsidR="00DA72FA" w:rsidRPr="00832287">
        <w:rPr>
          <w:rFonts w:ascii="Times New Roman" w:hAnsi="Times New Roman"/>
          <w:sz w:val="24"/>
        </w:rPr>
        <w:t xml:space="preserve">is consistent with local land use plans </w:t>
      </w:r>
      <w:r w:rsidR="003638CA">
        <w:rPr>
          <w:rFonts w:ascii="Times New Roman" w:hAnsi="Times New Roman"/>
          <w:sz w:val="24"/>
        </w:rPr>
        <w:t xml:space="preserve">and policies </w:t>
      </w:r>
      <w:r w:rsidR="00DA72FA" w:rsidRPr="00832287">
        <w:rPr>
          <w:rFonts w:ascii="Times New Roman" w:hAnsi="Times New Roman"/>
          <w:sz w:val="24"/>
        </w:rPr>
        <w:t xml:space="preserve">as required under </w:t>
      </w:r>
      <w:r w:rsidR="003638CA">
        <w:rPr>
          <w:rFonts w:ascii="Times New Roman" w:hAnsi="Times New Roman"/>
          <w:sz w:val="24"/>
        </w:rPr>
        <w:t>FLMPA and NEPA</w:t>
      </w:r>
      <w:r w:rsidR="00DA72FA">
        <w:rPr>
          <w:rFonts w:ascii="Times New Roman" w:hAnsi="Times New Roman"/>
          <w:sz w:val="24"/>
        </w:rPr>
        <w:t>.</w:t>
      </w:r>
    </w:p>
    <w:p w14:paraId="1BB4D1B5" w14:textId="77777777" w:rsidR="00B64D06" w:rsidRDefault="00B64D06" w:rsidP="00832287">
      <w:pPr>
        <w:rPr>
          <w:rFonts w:ascii="Times New Roman" w:hAnsi="Times New Roman"/>
          <w:sz w:val="24"/>
        </w:rPr>
      </w:pPr>
    </w:p>
    <w:p w14:paraId="4DDBC16A" w14:textId="07626787" w:rsidR="00280672" w:rsidRPr="00280672" w:rsidRDefault="00280672" w:rsidP="00832287">
      <w:pPr>
        <w:rPr>
          <w:rFonts w:ascii="Times New Roman" w:hAnsi="Times New Roman"/>
          <w:b/>
          <w:bCs/>
          <w:sz w:val="24"/>
          <w:u w:val="single"/>
        </w:rPr>
      </w:pPr>
      <w:r w:rsidRPr="00280672">
        <w:rPr>
          <w:rFonts w:ascii="Times New Roman" w:hAnsi="Times New Roman"/>
          <w:b/>
          <w:bCs/>
          <w:sz w:val="24"/>
          <w:u w:val="single"/>
        </w:rPr>
        <w:t>Need to Move Forward on Nevada-Wide Resource Management Plan (RMP) Modernization Project</w:t>
      </w:r>
    </w:p>
    <w:p w14:paraId="5805712D" w14:textId="77777777" w:rsidR="00280672" w:rsidRPr="00832287" w:rsidRDefault="00280672" w:rsidP="00832287">
      <w:pPr>
        <w:rPr>
          <w:rFonts w:ascii="Times New Roman" w:hAnsi="Times New Roman"/>
          <w:sz w:val="24"/>
        </w:rPr>
      </w:pPr>
    </w:p>
    <w:p w14:paraId="267E96FE" w14:textId="733E7FE2" w:rsidR="00772BD7" w:rsidRDefault="00772BD7" w:rsidP="00772BD7">
      <w:pPr>
        <w:rPr>
          <w:rFonts w:ascii="Times New Roman" w:hAnsi="Times New Roman"/>
          <w:sz w:val="24"/>
          <w:szCs w:val="28"/>
        </w:rPr>
      </w:pPr>
      <w:r>
        <w:rPr>
          <w:rFonts w:ascii="Times New Roman" w:hAnsi="Times New Roman"/>
          <w:sz w:val="24"/>
          <w:szCs w:val="28"/>
        </w:rPr>
        <w:t xml:space="preserve">The current average age of a Nevada </w:t>
      </w:r>
      <w:r w:rsidR="00980666">
        <w:rPr>
          <w:rFonts w:ascii="Times New Roman" w:hAnsi="Times New Roman"/>
          <w:sz w:val="24"/>
          <w:szCs w:val="28"/>
        </w:rPr>
        <w:t>RMP</w:t>
      </w:r>
      <w:r>
        <w:rPr>
          <w:rFonts w:ascii="Times New Roman" w:hAnsi="Times New Roman"/>
          <w:sz w:val="24"/>
          <w:szCs w:val="28"/>
        </w:rPr>
        <w:t xml:space="preserve"> is currently more than 22 years. </w:t>
      </w:r>
      <w:r w:rsidR="00213CC1">
        <w:rPr>
          <w:rFonts w:ascii="Times New Roman" w:hAnsi="Times New Roman"/>
          <w:sz w:val="24"/>
          <w:szCs w:val="28"/>
        </w:rPr>
        <w:t>Within this time period</w:t>
      </w:r>
      <w:r>
        <w:rPr>
          <w:rFonts w:ascii="Times New Roman" w:hAnsi="Times New Roman"/>
          <w:sz w:val="24"/>
          <w:szCs w:val="28"/>
        </w:rPr>
        <w:t xml:space="preserve">, new issues have arisen related to land use changes caused by urban development and changing conditions on Nevada’s public lands. Additionally, there have been significant policy changes related to recreation, energy production, mineral extraction, land leasing, agriculture, wildfire management, military activities, transportation, and many other </w:t>
      </w:r>
      <w:proofErr w:type="gramStart"/>
      <w:r>
        <w:rPr>
          <w:rFonts w:ascii="Times New Roman" w:hAnsi="Times New Roman"/>
          <w:sz w:val="24"/>
          <w:szCs w:val="28"/>
        </w:rPr>
        <w:t>land</w:t>
      </w:r>
      <w:proofErr w:type="gramEnd"/>
      <w:r>
        <w:rPr>
          <w:rFonts w:ascii="Times New Roman" w:hAnsi="Times New Roman"/>
          <w:sz w:val="24"/>
          <w:szCs w:val="28"/>
        </w:rPr>
        <w:t xml:space="preserve"> use planning issues. </w:t>
      </w:r>
      <w:r w:rsidR="00A03942" w:rsidRPr="00832287">
        <w:rPr>
          <w:rFonts w:ascii="Times New Roman" w:hAnsi="Times New Roman"/>
          <w:sz w:val="24"/>
        </w:rPr>
        <w:t xml:space="preserve">Nevada’s population and economy continue to grow significantly. As a result, </w:t>
      </w:r>
      <w:r w:rsidR="00D94756">
        <w:rPr>
          <w:rFonts w:ascii="Times New Roman" w:hAnsi="Times New Roman"/>
          <w:sz w:val="24"/>
        </w:rPr>
        <w:t>the</w:t>
      </w:r>
      <w:r w:rsidR="00A03942" w:rsidRPr="00832287">
        <w:rPr>
          <w:rFonts w:ascii="Times New Roman" w:hAnsi="Times New Roman"/>
          <w:sz w:val="24"/>
        </w:rPr>
        <w:t xml:space="preserve"> continuing and fast-paced land use changes on Nevada’s landscape</w:t>
      </w:r>
      <w:r w:rsidR="00D94756">
        <w:rPr>
          <w:rFonts w:ascii="Times New Roman" w:hAnsi="Times New Roman"/>
          <w:sz w:val="24"/>
        </w:rPr>
        <w:t>s</w:t>
      </w:r>
      <w:r w:rsidR="00A03942" w:rsidRPr="00832287">
        <w:rPr>
          <w:rFonts w:ascii="Times New Roman" w:hAnsi="Times New Roman"/>
          <w:sz w:val="24"/>
        </w:rPr>
        <w:t xml:space="preserve"> </w:t>
      </w:r>
      <w:r w:rsidR="00A03942">
        <w:rPr>
          <w:rFonts w:ascii="Times New Roman" w:hAnsi="Times New Roman"/>
          <w:sz w:val="24"/>
        </w:rPr>
        <w:t>need to be addressed collaboratively</w:t>
      </w:r>
      <w:r w:rsidR="00A03942" w:rsidRPr="00832287">
        <w:rPr>
          <w:rFonts w:ascii="Times New Roman" w:hAnsi="Times New Roman"/>
          <w:sz w:val="24"/>
        </w:rPr>
        <w:t>.</w:t>
      </w:r>
      <w:r w:rsidR="00A03942">
        <w:rPr>
          <w:rFonts w:ascii="Times New Roman" w:hAnsi="Times New Roman"/>
          <w:sz w:val="24"/>
        </w:rPr>
        <w:t xml:space="preserve"> </w:t>
      </w:r>
      <w:r w:rsidR="00AE1F81">
        <w:rPr>
          <w:rFonts w:ascii="Times New Roman" w:hAnsi="Times New Roman"/>
          <w:sz w:val="24"/>
          <w:szCs w:val="28"/>
        </w:rPr>
        <w:t xml:space="preserve">Updates are needed to Nevada’s outdated </w:t>
      </w:r>
      <w:r w:rsidR="00AE1F81">
        <w:rPr>
          <w:rFonts w:ascii="Times New Roman" w:hAnsi="Times New Roman"/>
          <w:sz w:val="24"/>
          <w:szCs w:val="28"/>
        </w:rPr>
        <w:lastRenderedPageBreak/>
        <w:t>RMP’s so that t</w:t>
      </w:r>
      <w:r>
        <w:rPr>
          <w:rFonts w:ascii="Times New Roman" w:hAnsi="Times New Roman"/>
          <w:sz w:val="24"/>
          <w:szCs w:val="28"/>
        </w:rPr>
        <w:t xml:space="preserve">he BLM can be responsive to </w:t>
      </w:r>
      <w:r w:rsidR="00D94756">
        <w:rPr>
          <w:rFonts w:ascii="Times New Roman" w:hAnsi="Times New Roman"/>
          <w:sz w:val="24"/>
          <w:szCs w:val="28"/>
        </w:rPr>
        <w:t>these changing conditions</w:t>
      </w:r>
      <w:r>
        <w:rPr>
          <w:rFonts w:ascii="Times New Roman" w:hAnsi="Times New Roman"/>
          <w:sz w:val="24"/>
          <w:szCs w:val="28"/>
        </w:rPr>
        <w:t xml:space="preserve"> and </w:t>
      </w:r>
      <w:r w:rsidR="00191137">
        <w:rPr>
          <w:rFonts w:ascii="Times New Roman" w:hAnsi="Times New Roman"/>
          <w:sz w:val="24"/>
          <w:szCs w:val="28"/>
        </w:rPr>
        <w:t xml:space="preserve">the ongoing </w:t>
      </w:r>
      <w:r>
        <w:rPr>
          <w:rFonts w:ascii="Times New Roman" w:hAnsi="Times New Roman"/>
          <w:sz w:val="24"/>
          <w:szCs w:val="28"/>
        </w:rPr>
        <w:t xml:space="preserve">land use planning </w:t>
      </w:r>
      <w:r w:rsidR="00A03942">
        <w:rPr>
          <w:rFonts w:ascii="Times New Roman" w:hAnsi="Times New Roman"/>
          <w:sz w:val="24"/>
          <w:szCs w:val="28"/>
        </w:rPr>
        <w:t xml:space="preserve">challenges </w:t>
      </w:r>
      <w:r>
        <w:rPr>
          <w:rFonts w:ascii="Times New Roman" w:hAnsi="Times New Roman"/>
          <w:sz w:val="24"/>
          <w:szCs w:val="28"/>
        </w:rPr>
        <w:t xml:space="preserve">throughout </w:t>
      </w:r>
      <w:r w:rsidR="00A03942">
        <w:rPr>
          <w:rFonts w:ascii="Times New Roman" w:hAnsi="Times New Roman"/>
          <w:sz w:val="24"/>
          <w:szCs w:val="28"/>
        </w:rPr>
        <w:t>Nevada</w:t>
      </w:r>
      <w:r>
        <w:rPr>
          <w:rFonts w:ascii="Times New Roman" w:hAnsi="Times New Roman"/>
          <w:sz w:val="24"/>
          <w:szCs w:val="28"/>
        </w:rPr>
        <w:t>.</w:t>
      </w:r>
    </w:p>
    <w:p w14:paraId="20BEF11E" w14:textId="77777777" w:rsidR="00772BD7" w:rsidRDefault="00772BD7" w:rsidP="00772BD7">
      <w:pPr>
        <w:rPr>
          <w:rFonts w:ascii="Times New Roman" w:hAnsi="Times New Roman"/>
          <w:sz w:val="24"/>
          <w:szCs w:val="28"/>
        </w:rPr>
      </w:pPr>
    </w:p>
    <w:p w14:paraId="75EBDE5D" w14:textId="3FBCFFA8" w:rsidR="00772BD7" w:rsidRDefault="00D94756" w:rsidP="00772BD7">
      <w:pPr>
        <w:rPr>
          <w:rFonts w:ascii="Times New Roman" w:hAnsi="Times New Roman"/>
          <w:sz w:val="24"/>
          <w:szCs w:val="28"/>
        </w:rPr>
      </w:pPr>
      <w:r w:rsidRPr="00832287">
        <w:rPr>
          <w:rFonts w:ascii="Times New Roman" w:hAnsi="Times New Roman"/>
          <w:sz w:val="24"/>
        </w:rPr>
        <w:t>During our November 10, 2022</w:t>
      </w:r>
      <w:r>
        <w:rPr>
          <w:rFonts w:ascii="Times New Roman" w:hAnsi="Times New Roman"/>
          <w:sz w:val="24"/>
        </w:rPr>
        <w:t xml:space="preserve"> meeting</w:t>
      </w:r>
      <w:r w:rsidRPr="00832287">
        <w:rPr>
          <w:rFonts w:ascii="Times New Roman" w:hAnsi="Times New Roman"/>
          <w:sz w:val="24"/>
        </w:rPr>
        <w:t xml:space="preserve">, SLUPAC endorsed the Nevada-Wide RMP Modernization Project proposed by BLM’s Nevada State Office. </w:t>
      </w:r>
      <w:r>
        <w:rPr>
          <w:rFonts w:ascii="Times New Roman" w:hAnsi="Times New Roman"/>
          <w:sz w:val="24"/>
        </w:rPr>
        <w:t xml:space="preserve"> </w:t>
      </w:r>
      <w:r>
        <w:rPr>
          <w:rFonts w:ascii="Times New Roman" w:hAnsi="Times New Roman"/>
          <w:sz w:val="24"/>
          <w:szCs w:val="28"/>
        </w:rPr>
        <w:t xml:space="preserve">SLUPAC asserts that a </w:t>
      </w:r>
      <w:r w:rsidR="00772BD7">
        <w:rPr>
          <w:rFonts w:ascii="Times New Roman" w:hAnsi="Times New Roman"/>
          <w:sz w:val="24"/>
          <w:szCs w:val="28"/>
        </w:rPr>
        <w:t>significant land use policy or management change such as</w:t>
      </w:r>
      <w:r w:rsidR="00A03942">
        <w:rPr>
          <w:rFonts w:ascii="Times New Roman" w:hAnsi="Times New Roman"/>
          <w:sz w:val="24"/>
          <w:szCs w:val="28"/>
        </w:rPr>
        <w:t xml:space="preserve"> </w:t>
      </w:r>
      <w:r>
        <w:rPr>
          <w:rFonts w:ascii="Times New Roman" w:hAnsi="Times New Roman"/>
          <w:sz w:val="24"/>
          <w:szCs w:val="28"/>
        </w:rPr>
        <w:t xml:space="preserve">that </w:t>
      </w:r>
      <w:r w:rsidR="00A03942">
        <w:rPr>
          <w:rFonts w:ascii="Times New Roman" w:hAnsi="Times New Roman"/>
          <w:sz w:val="24"/>
          <w:szCs w:val="28"/>
        </w:rPr>
        <w:t>proposed in the</w:t>
      </w:r>
      <w:r w:rsidR="00772BD7">
        <w:rPr>
          <w:rFonts w:ascii="Times New Roman" w:hAnsi="Times New Roman"/>
          <w:sz w:val="24"/>
          <w:szCs w:val="28"/>
        </w:rPr>
        <w:t xml:space="preserve"> </w:t>
      </w:r>
      <w:r>
        <w:rPr>
          <w:rFonts w:ascii="Times New Roman" w:hAnsi="Times New Roman"/>
          <w:sz w:val="24"/>
          <w:szCs w:val="28"/>
        </w:rPr>
        <w:t>Proposed Rule</w:t>
      </w:r>
      <w:r w:rsidR="00772BD7">
        <w:rPr>
          <w:rFonts w:ascii="Times New Roman" w:hAnsi="Times New Roman"/>
          <w:sz w:val="24"/>
          <w:szCs w:val="28"/>
        </w:rPr>
        <w:t xml:space="preserve"> </w:t>
      </w:r>
      <w:r w:rsidR="00E67E16">
        <w:rPr>
          <w:rFonts w:ascii="Times New Roman" w:hAnsi="Times New Roman"/>
          <w:sz w:val="24"/>
          <w:szCs w:val="28"/>
        </w:rPr>
        <w:t>should instead be</w:t>
      </w:r>
      <w:r>
        <w:rPr>
          <w:rFonts w:ascii="Times New Roman" w:hAnsi="Times New Roman"/>
          <w:sz w:val="24"/>
          <w:szCs w:val="28"/>
        </w:rPr>
        <w:t xml:space="preserve"> </w:t>
      </w:r>
      <w:r w:rsidR="00772BD7">
        <w:rPr>
          <w:rFonts w:ascii="Times New Roman" w:hAnsi="Times New Roman"/>
          <w:sz w:val="24"/>
          <w:szCs w:val="28"/>
        </w:rPr>
        <w:t xml:space="preserve">done through </w:t>
      </w:r>
      <w:r w:rsidR="00A03942">
        <w:rPr>
          <w:rFonts w:ascii="Times New Roman" w:hAnsi="Times New Roman"/>
          <w:sz w:val="24"/>
          <w:szCs w:val="28"/>
        </w:rPr>
        <w:t>a</w:t>
      </w:r>
      <w:r w:rsidR="00772BD7">
        <w:rPr>
          <w:rFonts w:ascii="Times New Roman" w:hAnsi="Times New Roman"/>
          <w:sz w:val="24"/>
          <w:szCs w:val="28"/>
        </w:rPr>
        <w:t xml:space="preserve"> collaborative</w:t>
      </w:r>
      <w:r>
        <w:rPr>
          <w:rFonts w:ascii="Times New Roman" w:hAnsi="Times New Roman"/>
          <w:sz w:val="24"/>
          <w:szCs w:val="28"/>
        </w:rPr>
        <w:t xml:space="preserve"> and comprehensive</w:t>
      </w:r>
      <w:r w:rsidR="00772BD7">
        <w:rPr>
          <w:rFonts w:ascii="Times New Roman" w:hAnsi="Times New Roman"/>
          <w:sz w:val="24"/>
          <w:szCs w:val="28"/>
        </w:rPr>
        <w:t xml:space="preserve"> </w:t>
      </w:r>
      <w:r w:rsidR="00A03942">
        <w:rPr>
          <w:rFonts w:ascii="Times New Roman" w:hAnsi="Times New Roman"/>
          <w:sz w:val="24"/>
          <w:szCs w:val="28"/>
        </w:rPr>
        <w:t xml:space="preserve">RMP </w:t>
      </w:r>
      <w:r w:rsidR="00772BD7">
        <w:rPr>
          <w:rFonts w:ascii="Times New Roman" w:hAnsi="Times New Roman"/>
          <w:sz w:val="24"/>
          <w:szCs w:val="28"/>
        </w:rPr>
        <w:t xml:space="preserve">planning process with a focus on local involvement and coordination. </w:t>
      </w:r>
      <w:r>
        <w:rPr>
          <w:rFonts w:ascii="Times New Roman" w:hAnsi="Times New Roman"/>
          <w:sz w:val="24"/>
          <w:szCs w:val="28"/>
        </w:rPr>
        <w:t xml:space="preserve">This </w:t>
      </w:r>
      <w:r>
        <w:rPr>
          <w:rFonts w:ascii="Times New Roman" w:hAnsi="Times New Roman"/>
          <w:sz w:val="24"/>
        </w:rPr>
        <w:t>transparent planning process will be more effective in achieving the conservation goals of the Proposed Rule while balancing the</w:t>
      </w:r>
      <w:r w:rsidR="00663E52">
        <w:rPr>
          <w:rFonts w:ascii="Times New Roman" w:hAnsi="Times New Roman"/>
          <w:sz w:val="24"/>
        </w:rPr>
        <w:t xml:space="preserve"> other multi-use resource needs and interests of the state.</w:t>
      </w:r>
    </w:p>
    <w:p w14:paraId="7009553D" w14:textId="77777777" w:rsidR="00A03942" w:rsidRDefault="00A03942" w:rsidP="00832287">
      <w:pPr>
        <w:rPr>
          <w:rFonts w:ascii="Times New Roman" w:hAnsi="Times New Roman"/>
          <w:sz w:val="24"/>
        </w:rPr>
      </w:pPr>
    </w:p>
    <w:p w14:paraId="7C1E5E22" w14:textId="2186D567" w:rsidR="00A03942" w:rsidRPr="00A03942" w:rsidRDefault="00A03942" w:rsidP="00832287">
      <w:pPr>
        <w:rPr>
          <w:rFonts w:ascii="Times New Roman" w:hAnsi="Times New Roman"/>
          <w:b/>
          <w:bCs/>
          <w:sz w:val="24"/>
          <w:u w:val="single"/>
        </w:rPr>
      </w:pPr>
      <w:r w:rsidRPr="00A03942">
        <w:rPr>
          <w:rFonts w:ascii="Times New Roman" w:hAnsi="Times New Roman"/>
          <w:b/>
          <w:bCs/>
          <w:sz w:val="24"/>
          <w:u w:val="single"/>
        </w:rPr>
        <w:t>Promot</w:t>
      </w:r>
      <w:r>
        <w:rPr>
          <w:rFonts w:ascii="Times New Roman" w:hAnsi="Times New Roman"/>
          <w:b/>
          <w:bCs/>
          <w:sz w:val="24"/>
          <w:u w:val="single"/>
        </w:rPr>
        <w:t>e</w:t>
      </w:r>
      <w:r w:rsidRPr="00A03942">
        <w:rPr>
          <w:rFonts w:ascii="Times New Roman" w:hAnsi="Times New Roman"/>
          <w:b/>
          <w:bCs/>
          <w:sz w:val="24"/>
          <w:u w:val="single"/>
        </w:rPr>
        <w:t xml:space="preserve"> Tribal Engagement and Traditional Ecological Knowledge</w:t>
      </w:r>
    </w:p>
    <w:p w14:paraId="22BBF12A" w14:textId="77777777" w:rsidR="00A03942" w:rsidRPr="00832287" w:rsidRDefault="00A03942" w:rsidP="00832287">
      <w:pPr>
        <w:rPr>
          <w:rFonts w:ascii="Times New Roman" w:hAnsi="Times New Roman"/>
          <w:sz w:val="24"/>
        </w:rPr>
      </w:pPr>
    </w:p>
    <w:p w14:paraId="1E31783D" w14:textId="1F05102E" w:rsidR="00163F48" w:rsidRDefault="0096045F" w:rsidP="00832287">
      <w:pPr>
        <w:rPr>
          <w:rFonts w:ascii="Times New Roman" w:hAnsi="Times New Roman"/>
          <w:sz w:val="24"/>
        </w:rPr>
      </w:pPr>
      <w:r>
        <w:rPr>
          <w:rFonts w:ascii="Times New Roman" w:hAnsi="Times New Roman"/>
          <w:sz w:val="24"/>
        </w:rPr>
        <w:t>L</w:t>
      </w:r>
      <w:r w:rsidR="00AE4CC6" w:rsidRPr="00832287">
        <w:rPr>
          <w:rFonts w:ascii="Times New Roman" w:hAnsi="Times New Roman"/>
          <w:sz w:val="24"/>
        </w:rPr>
        <w:t xml:space="preserve">ocal stakeholders, </w:t>
      </w:r>
      <w:r>
        <w:rPr>
          <w:rFonts w:ascii="Times New Roman" w:hAnsi="Times New Roman"/>
          <w:sz w:val="24"/>
        </w:rPr>
        <w:t>and in particular</w:t>
      </w:r>
      <w:r w:rsidR="00D55013" w:rsidRPr="00832287">
        <w:rPr>
          <w:rFonts w:ascii="Times New Roman" w:hAnsi="Times New Roman"/>
          <w:sz w:val="24"/>
        </w:rPr>
        <w:t xml:space="preserve"> </w:t>
      </w:r>
      <w:r w:rsidR="00F65837" w:rsidRPr="00832287">
        <w:rPr>
          <w:rFonts w:ascii="Times New Roman" w:hAnsi="Times New Roman"/>
          <w:sz w:val="24"/>
        </w:rPr>
        <w:t>Federall</w:t>
      </w:r>
      <w:r w:rsidR="001D06B3" w:rsidRPr="00832287">
        <w:rPr>
          <w:rFonts w:ascii="Times New Roman" w:hAnsi="Times New Roman"/>
          <w:sz w:val="24"/>
        </w:rPr>
        <w:t>y</w:t>
      </w:r>
      <w:r w:rsidR="00F65837" w:rsidRPr="00832287">
        <w:rPr>
          <w:rFonts w:ascii="Times New Roman" w:hAnsi="Times New Roman"/>
          <w:sz w:val="24"/>
        </w:rPr>
        <w:t xml:space="preserve"> </w:t>
      </w:r>
      <w:r w:rsidR="0064319E" w:rsidRPr="00832287">
        <w:rPr>
          <w:rFonts w:ascii="Times New Roman" w:hAnsi="Times New Roman"/>
          <w:sz w:val="24"/>
        </w:rPr>
        <w:t>r</w:t>
      </w:r>
      <w:r w:rsidR="00F65837" w:rsidRPr="00832287">
        <w:rPr>
          <w:rFonts w:ascii="Times New Roman" w:hAnsi="Times New Roman"/>
          <w:sz w:val="24"/>
        </w:rPr>
        <w:t>ecognized Indian Tribes</w:t>
      </w:r>
      <w:r w:rsidR="00AE4CC6" w:rsidRPr="00832287">
        <w:rPr>
          <w:rFonts w:ascii="Times New Roman" w:hAnsi="Times New Roman"/>
          <w:sz w:val="24"/>
        </w:rPr>
        <w:t xml:space="preserve"> have specific knowledge and </w:t>
      </w:r>
      <w:r w:rsidR="009D0BD9">
        <w:rPr>
          <w:rFonts w:ascii="Times New Roman" w:hAnsi="Times New Roman"/>
          <w:sz w:val="24"/>
        </w:rPr>
        <w:t xml:space="preserve">possess </w:t>
      </w:r>
      <w:r w:rsidR="00AE4CC6" w:rsidRPr="00832287">
        <w:rPr>
          <w:rFonts w:ascii="Times New Roman" w:hAnsi="Times New Roman"/>
          <w:sz w:val="24"/>
        </w:rPr>
        <w:t>an on-the-ground understanding of Nevada</w:t>
      </w:r>
      <w:r w:rsidR="00F310E7" w:rsidRPr="00832287">
        <w:rPr>
          <w:rFonts w:ascii="Times New Roman" w:hAnsi="Times New Roman"/>
          <w:sz w:val="24"/>
        </w:rPr>
        <w:t>’s</w:t>
      </w:r>
      <w:r w:rsidR="00AE4CC6" w:rsidRPr="00832287">
        <w:rPr>
          <w:rFonts w:ascii="Times New Roman" w:hAnsi="Times New Roman"/>
          <w:sz w:val="24"/>
        </w:rPr>
        <w:t xml:space="preserve"> land use planning policies and management activities. SLUPAC believes it is critical </w:t>
      </w:r>
      <w:r w:rsidR="00583AE9">
        <w:rPr>
          <w:rFonts w:ascii="Times New Roman" w:hAnsi="Times New Roman"/>
          <w:sz w:val="24"/>
        </w:rPr>
        <w:t xml:space="preserve">for the BLM </w:t>
      </w:r>
      <w:r w:rsidR="00AE4CC6" w:rsidRPr="00832287">
        <w:rPr>
          <w:rFonts w:ascii="Times New Roman" w:hAnsi="Times New Roman"/>
          <w:sz w:val="24"/>
        </w:rPr>
        <w:t>to foster close communication and coordinate</w:t>
      </w:r>
      <w:r w:rsidR="00583AE9">
        <w:rPr>
          <w:rFonts w:ascii="Times New Roman" w:hAnsi="Times New Roman"/>
          <w:sz w:val="24"/>
        </w:rPr>
        <w:t xml:space="preserve"> conservation</w:t>
      </w:r>
      <w:r w:rsidR="00AE4CC6" w:rsidRPr="00832287">
        <w:rPr>
          <w:rFonts w:ascii="Times New Roman" w:hAnsi="Times New Roman"/>
          <w:sz w:val="24"/>
        </w:rPr>
        <w:t xml:space="preserve"> efforts with </w:t>
      </w:r>
      <w:r w:rsidR="00583AE9">
        <w:rPr>
          <w:rFonts w:ascii="Times New Roman" w:hAnsi="Times New Roman"/>
          <w:sz w:val="24"/>
        </w:rPr>
        <w:t>Tribes for the benefit of Nevada’s natural resources</w:t>
      </w:r>
      <w:r w:rsidR="00AE4CC6" w:rsidRPr="00832287">
        <w:rPr>
          <w:rFonts w:ascii="Times New Roman" w:hAnsi="Times New Roman"/>
          <w:sz w:val="24"/>
        </w:rPr>
        <w:t xml:space="preserve">. </w:t>
      </w:r>
      <w:r w:rsidR="00583AE9">
        <w:rPr>
          <w:rFonts w:ascii="Times New Roman" w:hAnsi="Times New Roman"/>
          <w:sz w:val="24"/>
        </w:rPr>
        <w:t>The efforts of the proposed public lands rule to promote increased Tribal engagement and co</w:t>
      </w:r>
      <w:r w:rsidR="009D0BD9">
        <w:rPr>
          <w:rFonts w:ascii="Times New Roman" w:hAnsi="Times New Roman"/>
          <w:sz w:val="24"/>
        </w:rPr>
        <w:t>-</w:t>
      </w:r>
      <w:r w:rsidR="00583AE9">
        <w:rPr>
          <w:rFonts w:ascii="Times New Roman" w:hAnsi="Times New Roman"/>
          <w:sz w:val="24"/>
        </w:rPr>
        <w:t xml:space="preserve">management opportunities are </w:t>
      </w:r>
      <w:r w:rsidR="00DB7017">
        <w:rPr>
          <w:rFonts w:ascii="Times New Roman" w:hAnsi="Times New Roman"/>
          <w:sz w:val="24"/>
        </w:rPr>
        <w:t>commendable</w:t>
      </w:r>
      <w:r w:rsidR="00583AE9">
        <w:rPr>
          <w:rFonts w:ascii="Times New Roman" w:hAnsi="Times New Roman"/>
          <w:sz w:val="24"/>
        </w:rPr>
        <w:t xml:space="preserve">. The inclusion of traditional ecological knowledge of the Tribes in Nevada into the land management </w:t>
      </w:r>
      <w:r w:rsidR="009D0BD9">
        <w:rPr>
          <w:rFonts w:ascii="Times New Roman" w:hAnsi="Times New Roman"/>
          <w:sz w:val="24"/>
        </w:rPr>
        <w:t xml:space="preserve">decisions will help </w:t>
      </w:r>
      <w:r w:rsidR="009D0BD9" w:rsidRPr="00832287">
        <w:rPr>
          <w:rFonts w:ascii="Times New Roman" w:hAnsi="Times New Roman"/>
          <w:sz w:val="24"/>
        </w:rPr>
        <w:t xml:space="preserve">identify and avoid significant cultural </w:t>
      </w:r>
      <w:r w:rsidR="009D0BD9">
        <w:rPr>
          <w:rFonts w:ascii="Times New Roman" w:hAnsi="Times New Roman"/>
          <w:sz w:val="24"/>
        </w:rPr>
        <w:t xml:space="preserve">resources </w:t>
      </w:r>
      <w:r w:rsidR="009D0BD9" w:rsidRPr="00832287">
        <w:rPr>
          <w:rFonts w:ascii="Times New Roman" w:hAnsi="Times New Roman"/>
          <w:sz w:val="24"/>
        </w:rPr>
        <w:t>and</w:t>
      </w:r>
      <w:r w:rsidR="009D0BD9">
        <w:rPr>
          <w:rFonts w:ascii="Times New Roman" w:hAnsi="Times New Roman"/>
          <w:sz w:val="24"/>
        </w:rPr>
        <w:t xml:space="preserve"> better protect</w:t>
      </w:r>
      <w:r w:rsidR="009D0BD9" w:rsidRPr="00832287">
        <w:rPr>
          <w:rFonts w:ascii="Times New Roman" w:hAnsi="Times New Roman"/>
          <w:sz w:val="24"/>
        </w:rPr>
        <w:t xml:space="preserve"> natural resources</w:t>
      </w:r>
      <w:r w:rsidR="009D0BD9">
        <w:rPr>
          <w:rFonts w:ascii="Times New Roman" w:hAnsi="Times New Roman"/>
          <w:sz w:val="24"/>
        </w:rPr>
        <w:t xml:space="preserve">. </w:t>
      </w:r>
      <w:r w:rsidR="00AE4CC6" w:rsidRPr="00832287">
        <w:rPr>
          <w:rFonts w:ascii="Times New Roman" w:hAnsi="Times New Roman"/>
          <w:sz w:val="24"/>
        </w:rPr>
        <w:t xml:space="preserve">SLUPAC </w:t>
      </w:r>
      <w:r w:rsidR="00663E52">
        <w:rPr>
          <w:rFonts w:ascii="Times New Roman" w:hAnsi="Times New Roman"/>
          <w:sz w:val="24"/>
        </w:rPr>
        <w:t>supports</w:t>
      </w:r>
      <w:r w:rsidR="00663E52" w:rsidRPr="00832287">
        <w:rPr>
          <w:rFonts w:ascii="Times New Roman" w:hAnsi="Times New Roman"/>
          <w:sz w:val="24"/>
        </w:rPr>
        <w:t xml:space="preserve"> </w:t>
      </w:r>
      <w:r w:rsidR="00CA7CC9" w:rsidRPr="00832287">
        <w:rPr>
          <w:rFonts w:ascii="Times New Roman" w:hAnsi="Times New Roman"/>
          <w:sz w:val="24"/>
        </w:rPr>
        <w:t xml:space="preserve">the BLM </w:t>
      </w:r>
      <w:r w:rsidR="0079166A" w:rsidRPr="00832287">
        <w:rPr>
          <w:rFonts w:ascii="Times New Roman" w:hAnsi="Times New Roman"/>
          <w:sz w:val="24"/>
        </w:rPr>
        <w:t>work</w:t>
      </w:r>
      <w:r w:rsidR="00663E52">
        <w:rPr>
          <w:rFonts w:ascii="Times New Roman" w:hAnsi="Times New Roman"/>
          <w:sz w:val="24"/>
        </w:rPr>
        <w:t>ing</w:t>
      </w:r>
      <w:r w:rsidR="0079166A" w:rsidRPr="00832287">
        <w:rPr>
          <w:rFonts w:ascii="Times New Roman" w:hAnsi="Times New Roman"/>
          <w:sz w:val="24"/>
        </w:rPr>
        <w:t xml:space="preserve"> in close partnership with</w:t>
      </w:r>
      <w:r w:rsidR="001D06B3" w:rsidRPr="00832287">
        <w:rPr>
          <w:rFonts w:ascii="Times New Roman" w:hAnsi="Times New Roman"/>
          <w:sz w:val="24"/>
        </w:rPr>
        <w:t xml:space="preserve"> Federally recognized Indian Tribes</w:t>
      </w:r>
      <w:r w:rsidR="00AE4CC6" w:rsidRPr="00832287">
        <w:rPr>
          <w:rFonts w:ascii="Times New Roman" w:hAnsi="Times New Roman"/>
          <w:sz w:val="24"/>
        </w:rPr>
        <w:t xml:space="preserve"> </w:t>
      </w:r>
      <w:r w:rsidR="0079166A" w:rsidRPr="00832287">
        <w:rPr>
          <w:rFonts w:ascii="Times New Roman" w:hAnsi="Times New Roman"/>
          <w:sz w:val="24"/>
        </w:rPr>
        <w:t>throughout Nevada in a meaningful, collaborative, and transparent manner</w:t>
      </w:r>
      <w:r w:rsidR="009D0BD9">
        <w:rPr>
          <w:rFonts w:ascii="Times New Roman" w:hAnsi="Times New Roman"/>
          <w:sz w:val="24"/>
        </w:rPr>
        <w:t xml:space="preserve"> to incorporate traditional ecological knowledge and promote co-management opportunities. </w:t>
      </w:r>
    </w:p>
    <w:p w14:paraId="6ECA893C" w14:textId="77777777" w:rsidR="00A03942" w:rsidRDefault="00A03942" w:rsidP="00832287">
      <w:pPr>
        <w:rPr>
          <w:rFonts w:ascii="Times New Roman" w:hAnsi="Times New Roman"/>
          <w:sz w:val="24"/>
        </w:rPr>
      </w:pPr>
    </w:p>
    <w:p w14:paraId="151016E8" w14:textId="4C3A68A8" w:rsidR="00280672" w:rsidRPr="00280672" w:rsidRDefault="00280672" w:rsidP="00832287">
      <w:pPr>
        <w:rPr>
          <w:rFonts w:ascii="Times New Roman" w:hAnsi="Times New Roman"/>
          <w:b/>
          <w:bCs/>
          <w:sz w:val="24"/>
          <w:u w:val="single"/>
        </w:rPr>
      </w:pPr>
      <w:r w:rsidRPr="00280672">
        <w:rPr>
          <w:rFonts w:ascii="Times New Roman" w:hAnsi="Times New Roman"/>
          <w:b/>
          <w:bCs/>
          <w:sz w:val="24"/>
          <w:u w:val="single"/>
        </w:rPr>
        <w:t xml:space="preserve">Need to Combat Current Speculative Leasing Practices </w:t>
      </w:r>
    </w:p>
    <w:p w14:paraId="5C83D30B" w14:textId="77777777" w:rsidR="00280672" w:rsidRPr="00832287" w:rsidRDefault="00280672" w:rsidP="00832287">
      <w:pPr>
        <w:rPr>
          <w:rFonts w:ascii="Times New Roman" w:hAnsi="Times New Roman"/>
          <w:sz w:val="24"/>
        </w:rPr>
      </w:pPr>
    </w:p>
    <w:p w14:paraId="2AEAAEAA" w14:textId="47628F8A" w:rsidR="00184406" w:rsidRDefault="007C6298" w:rsidP="00184406">
      <w:pPr>
        <w:rPr>
          <w:rFonts w:ascii="Times New Roman" w:hAnsi="Times New Roman"/>
          <w:sz w:val="24"/>
        </w:rPr>
      </w:pPr>
      <w:r>
        <w:rPr>
          <w:rFonts w:ascii="Times New Roman" w:hAnsi="Times New Roman"/>
          <w:sz w:val="24"/>
        </w:rPr>
        <w:t xml:space="preserve">SLUPAC also encourages </w:t>
      </w:r>
      <w:r w:rsidR="00191137">
        <w:rPr>
          <w:rFonts w:ascii="Times New Roman" w:hAnsi="Times New Roman"/>
          <w:sz w:val="24"/>
        </w:rPr>
        <w:t xml:space="preserve">the </w:t>
      </w:r>
      <w:r w:rsidR="0032386A" w:rsidRPr="00832287">
        <w:rPr>
          <w:rFonts w:ascii="Times New Roman" w:hAnsi="Times New Roman"/>
          <w:sz w:val="24"/>
        </w:rPr>
        <w:t xml:space="preserve">BLM </w:t>
      </w:r>
      <w:r>
        <w:rPr>
          <w:rFonts w:ascii="Times New Roman" w:hAnsi="Times New Roman"/>
          <w:sz w:val="24"/>
        </w:rPr>
        <w:t xml:space="preserve">to </w:t>
      </w:r>
      <w:r w:rsidR="0032386A" w:rsidRPr="00832287">
        <w:rPr>
          <w:rFonts w:ascii="Times New Roman" w:hAnsi="Times New Roman"/>
          <w:sz w:val="24"/>
        </w:rPr>
        <w:t>develop policies t</w:t>
      </w:r>
      <w:r>
        <w:rPr>
          <w:rFonts w:ascii="Times New Roman" w:hAnsi="Times New Roman"/>
          <w:sz w:val="24"/>
        </w:rPr>
        <w:t>hat will</w:t>
      </w:r>
      <w:r w:rsidR="0032386A" w:rsidRPr="00832287">
        <w:rPr>
          <w:rFonts w:ascii="Times New Roman" w:hAnsi="Times New Roman"/>
          <w:sz w:val="24"/>
        </w:rPr>
        <w:t xml:space="preserve"> discourage speculative projects on public</w:t>
      </w:r>
      <w:r w:rsidR="00663E52">
        <w:rPr>
          <w:rFonts w:ascii="Times New Roman" w:hAnsi="Times New Roman"/>
          <w:sz w:val="24"/>
        </w:rPr>
        <w:t xml:space="preserve"> land</w:t>
      </w:r>
      <w:r w:rsidR="0032386A" w:rsidRPr="00832287">
        <w:rPr>
          <w:rFonts w:ascii="Times New Roman" w:hAnsi="Times New Roman"/>
          <w:sz w:val="24"/>
        </w:rPr>
        <w:t xml:space="preserve">. In recent years </w:t>
      </w:r>
      <w:r w:rsidR="00264F0D" w:rsidRPr="00832287">
        <w:rPr>
          <w:rFonts w:ascii="Times New Roman" w:hAnsi="Times New Roman"/>
          <w:sz w:val="24"/>
        </w:rPr>
        <w:t xml:space="preserve">across several hundred thousand acres </w:t>
      </w:r>
      <w:r w:rsidR="009D3276">
        <w:rPr>
          <w:rFonts w:ascii="Times New Roman" w:hAnsi="Times New Roman"/>
          <w:sz w:val="24"/>
        </w:rPr>
        <w:t>throughout</w:t>
      </w:r>
      <w:r w:rsidR="00264F0D" w:rsidRPr="00832287">
        <w:rPr>
          <w:rFonts w:ascii="Times New Roman" w:hAnsi="Times New Roman"/>
          <w:sz w:val="24"/>
        </w:rPr>
        <w:t xml:space="preserve"> </w:t>
      </w:r>
      <w:r w:rsidR="00264F0D">
        <w:rPr>
          <w:rFonts w:ascii="Times New Roman" w:hAnsi="Times New Roman"/>
          <w:sz w:val="24"/>
        </w:rPr>
        <w:t xml:space="preserve">Nevada </w:t>
      </w:r>
      <w:r w:rsidR="0032386A" w:rsidRPr="00832287">
        <w:rPr>
          <w:rFonts w:ascii="Times New Roman" w:hAnsi="Times New Roman"/>
          <w:sz w:val="24"/>
        </w:rPr>
        <w:t>there has been a rush by developers</w:t>
      </w:r>
      <w:r w:rsidR="00264F0D">
        <w:rPr>
          <w:rFonts w:ascii="Times New Roman" w:hAnsi="Times New Roman"/>
          <w:sz w:val="24"/>
        </w:rPr>
        <w:t>, private investors, and others to propose</w:t>
      </w:r>
      <w:r w:rsidR="0032386A" w:rsidRPr="00832287">
        <w:rPr>
          <w:rFonts w:ascii="Times New Roman" w:hAnsi="Times New Roman"/>
          <w:sz w:val="24"/>
        </w:rPr>
        <w:t xml:space="preserve"> large scale renewable energy</w:t>
      </w:r>
      <w:r w:rsidR="00264F0D">
        <w:rPr>
          <w:rFonts w:ascii="Times New Roman" w:hAnsi="Times New Roman"/>
          <w:sz w:val="24"/>
        </w:rPr>
        <w:t xml:space="preserve"> projects, oil &amp; gas leases, mining projects, special use activities, and other uses</w:t>
      </w:r>
      <w:r w:rsidR="0032386A" w:rsidRPr="00832287">
        <w:rPr>
          <w:rFonts w:ascii="Times New Roman" w:hAnsi="Times New Roman"/>
          <w:sz w:val="24"/>
        </w:rPr>
        <w:t xml:space="preserve"> </w:t>
      </w:r>
      <w:r w:rsidR="00264F0D">
        <w:rPr>
          <w:rFonts w:ascii="Times New Roman" w:hAnsi="Times New Roman"/>
          <w:sz w:val="24"/>
        </w:rPr>
        <w:t xml:space="preserve">that are </w:t>
      </w:r>
      <w:r w:rsidR="00613F1C">
        <w:rPr>
          <w:rFonts w:ascii="Times New Roman" w:hAnsi="Times New Roman"/>
          <w:sz w:val="24"/>
        </w:rPr>
        <w:t xml:space="preserve">specious and </w:t>
      </w:r>
      <w:r w:rsidR="00264F0D">
        <w:rPr>
          <w:rFonts w:ascii="Times New Roman" w:hAnsi="Times New Roman"/>
          <w:sz w:val="24"/>
        </w:rPr>
        <w:t>speculative</w:t>
      </w:r>
      <w:r w:rsidR="0032386A" w:rsidRPr="00832287">
        <w:rPr>
          <w:rFonts w:ascii="Times New Roman" w:hAnsi="Times New Roman"/>
          <w:sz w:val="24"/>
        </w:rPr>
        <w:t xml:space="preserve">. Many of these </w:t>
      </w:r>
      <w:r w:rsidR="009D3276" w:rsidRPr="00832287">
        <w:rPr>
          <w:rFonts w:ascii="Times New Roman" w:hAnsi="Times New Roman"/>
          <w:sz w:val="24"/>
        </w:rPr>
        <w:t xml:space="preserve">speculative </w:t>
      </w:r>
      <w:r w:rsidR="0032386A" w:rsidRPr="00832287">
        <w:rPr>
          <w:rFonts w:ascii="Times New Roman" w:hAnsi="Times New Roman"/>
          <w:sz w:val="24"/>
        </w:rPr>
        <w:t xml:space="preserve">projects </w:t>
      </w:r>
      <w:r w:rsidR="009D3276">
        <w:rPr>
          <w:rFonts w:ascii="Times New Roman" w:hAnsi="Times New Roman"/>
          <w:sz w:val="24"/>
        </w:rPr>
        <w:t xml:space="preserve">have very little chance of </w:t>
      </w:r>
      <w:r w:rsidR="00184406">
        <w:rPr>
          <w:rFonts w:ascii="Times New Roman" w:hAnsi="Times New Roman"/>
          <w:sz w:val="24"/>
        </w:rPr>
        <w:t>ever being</w:t>
      </w:r>
      <w:r w:rsidR="009D3276">
        <w:rPr>
          <w:rFonts w:ascii="Times New Roman" w:hAnsi="Times New Roman"/>
          <w:sz w:val="24"/>
        </w:rPr>
        <w:t xml:space="preserve"> completed</w:t>
      </w:r>
      <w:r w:rsidR="0032386A" w:rsidRPr="00832287">
        <w:rPr>
          <w:rFonts w:ascii="Times New Roman" w:hAnsi="Times New Roman"/>
          <w:sz w:val="24"/>
        </w:rPr>
        <w:t xml:space="preserve"> and take up the valuable time of BLM field office staff</w:t>
      </w:r>
      <w:r w:rsidR="00184406">
        <w:rPr>
          <w:rFonts w:ascii="Times New Roman" w:hAnsi="Times New Roman"/>
          <w:sz w:val="24"/>
        </w:rPr>
        <w:t xml:space="preserve">. </w:t>
      </w:r>
      <w:r w:rsidR="0032386A" w:rsidRPr="00832287">
        <w:rPr>
          <w:rFonts w:ascii="Times New Roman" w:hAnsi="Times New Roman"/>
          <w:sz w:val="24"/>
        </w:rPr>
        <w:t xml:space="preserve">Better vetting, tracking and mapping of </w:t>
      </w:r>
      <w:r w:rsidR="006E6D31">
        <w:rPr>
          <w:rFonts w:ascii="Times New Roman" w:hAnsi="Times New Roman"/>
          <w:sz w:val="24"/>
        </w:rPr>
        <w:t>speculative projects proposed</w:t>
      </w:r>
      <w:r w:rsidR="0032386A" w:rsidRPr="00832287">
        <w:rPr>
          <w:rFonts w:ascii="Times New Roman" w:hAnsi="Times New Roman"/>
          <w:sz w:val="24"/>
        </w:rPr>
        <w:t xml:space="preserve"> on public lands </w:t>
      </w:r>
      <w:r w:rsidR="006E6D31">
        <w:rPr>
          <w:rFonts w:ascii="Times New Roman" w:hAnsi="Times New Roman"/>
          <w:sz w:val="24"/>
        </w:rPr>
        <w:t>is</w:t>
      </w:r>
      <w:r w:rsidR="0032386A" w:rsidRPr="00832287">
        <w:rPr>
          <w:rFonts w:ascii="Times New Roman" w:hAnsi="Times New Roman"/>
          <w:sz w:val="24"/>
        </w:rPr>
        <w:t xml:space="preserve"> needed to help local stakeholders</w:t>
      </w:r>
      <w:r w:rsidR="00D32550">
        <w:rPr>
          <w:rFonts w:ascii="Times New Roman" w:hAnsi="Times New Roman"/>
          <w:sz w:val="24"/>
        </w:rPr>
        <w:t xml:space="preserve"> better</w:t>
      </w:r>
      <w:r w:rsidR="0032386A" w:rsidRPr="00832287">
        <w:rPr>
          <w:rFonts w:ascii="Times New Roman" w:hAnsi="Times New Roman"/>
          <w:sz w:val="24"/>
        </w:rPr>
        <w:t xml:space="preserve"> understand </w:t>
      </w:r>
      <w:r w:rsidR="006E6D31">
        <w:rPr>
          <w:rFonts w:ascii="Times New Roman" w:hAnsi="Times New Roman"/>
          <w:sz w:val="24"/>
        </w:rPr>
        <w:t>and plan for more realistic projects</w:t>
      </w:r>
      <w:r w:rsidR="0032386A" w:rsidRPr="00832287">
        <w:rPr>
          <w:rFonts w:ascii="Times New Roman" w:hAnsi="Times New Roman"/>
          <w:sz w:val="24"/>
        </w:rPr>
        <w:t xml:space="preserve"> across Nevad</w:t>
      </w:r>
      <w:r w:rsidR="006E6D31">
        <w:rPr>
          <w:rFonts w:ascii="Times New Roman" w:hAnsi="Times New Roman"/>
          <w:sz w:val="24"/>
        </w:rPr>
        <w:t xml:space="preserve">a. Given the impact of speculative projects </w:t>
      </w:r>
      <w:r w:rsidR="00D32550">
        <w:rPr>
          <w:rFonts w:ascii="Times New Roman" w:hAnsi="Times New Roman"/>
          <w:sz w:val="24"/>
        </w:rPr>
        <w:t>on</w:t>
      </w:r>
      <w:r w:rsidR="006E6D31">
        <w:rPr>
          <w:rFonts w:ascii="Times New Roman" w:hAnsi="Times New Roman"/>
          <w:sz w:val="24"/>
        </w:rPr>
        <w:t xml:space="preserve"> the demands of BLM field office staff, SLUPAC is concerned about the conservation leasing activities</w:t>
      </w:r>
      <w:r>
        <w:rPr>
          <w:rFonts w:ascii="Times New Roman" w:hAnsi="Times New Roman"/>
          <w:sz w:val="24"/>
        </w:rPr>
        <w:t xml:space="preserve"> under the Proposed Rule</w:t>
      </w:r>
      <w:r w:rsidR="006E6D31">
        <w:rPr>
          <w:rFonts w:ascii="Times New Roman" w:hAnsi="Times New Roman"/>
          <w:sz w:val="24"/>
        </w:rPr>
        <w:t xml:space="preserve"> </w:t>
      </w:r>
      <w:r w:rsidR="00184406" w:rsidRPr="00832287">
        <w:rPr>
          <w:rFonts w:ascii="Times New Roman" w:hAnsi="Times New Roman"/>
          <w:sz w:val="24"/>
        </w:rPr>
        <w:t>interfer</w:t>
      </w:r>
      <w:r w:rsidR="00D32550">
        <w:rPr>
          <w:rFonts w:ascii="Times New Roman" w:hAnsi="Times New Roman"/>
          <w:sz w:val="24"/>
        </w:rPr>
        <w:t>ing</w:t>
      </w:r>
      <w:r w:rsidR="00184406" w:rsidRPr="00832287">
        <w:rPr>
          <w:rFonts w:ascii="Times New Roman" w:hAnsi="Times New Roman"/>
          <w:sz w:val="24"/>
        </w:rPr>
        <w:t xml:space="preserve"> with other important land management activities.</w:t>
      </w:r>
      <w:r w:rsidR="00184406">
        <w:rPr>
          <w:rFonts w:ascii="Times New Roman" w:hAnsi="Times New Roman"/>
          <w:sz w:val="24"/>
        </w:rPr>
        <w:t xml:space="preserve"> </w:t>
      </w:r>
      <w:r w:rsidR="006C4B04">
        <w:rPr>
          <w:rFonts w:ascii="Times New Roman" w:hAnsi="Times New Roman"/>
          <w:sz w:val="24"/>
        </w:rPr>
        <w:t xml:space="preserve"> Also, SLUPAC is concerned conservation leases could be used, not for conservation, but as a defensive tool of special interests to prevent otherwise allowable multiple use activities. </w:t>
      </w:r>
      <w:r>
        <w:rPr>
          <w:rFonts w:ascii="Times New Roman" w:hAnsi="Times New Roman"/>
          <w:sz w:val="24"/>
        </w:rPr>
        <w:t xml:space="preserve">Therefore, </w:t>
      </w:r>
      <w:r w:rsidR="00184406">
        <w:rPr>
          <w:rFonts w:ascii="Times New Roman" w:hAnsi="Times New Roman"/>
          <w:sz w:val="24"/>
        </w:rPr>
        <w:t xml:space="preserve">SLUPAC </w:t>
      </w:r>
      <w:r>
        <w:rPr>
          <w:rFonts w:ascii="Times New Roman" w:hAnsi="Times New Roman"/>
          <w:sz w:val="24"/>
        </w:rPr>
        <w:t xml:space="preserve">again supports a comprehensive RMP update to balance conservation with other land use uses </w:t>
      </w:r>
      <w:r w:rsidR="006C4B04">
        <w:rPr>
          <w:rFonts w:ascii="Times New Roman" w:hAnsi="Times New Roman"/>
          <w:sz w:val="24"/>
        </w:rPr>
        <w:t xml:space="preserve">and to </w:t>
      </w:r>
      <w:r>
        <w:rPr>
          <w:rFonts w:ascii="Times New Roman" w:hAnsi="Times New Roman"/>
          <w:sz w:val="24"/>
        </w:rPr>
        <w:t>limit speculation.</w:t>
      </w:r>
    </w:p>
    <w:p w14:paraId="424260AD" w14:textId="77777777" w:rsidR="00184406" w:rsidRDefault="00184406" w:rsidP="0032386A">
      <w:pPr>
        <w:rPr>
          <w:rFonts w:ascii="Times New Roman" w:hAnsi="Times New Roman"/>
          <w:sz w:val="24"/>
        </w:rPr>
      </w:pPr>
    </w:p>
    <w:p w14:paraId="323F3091" w14:textId="549DC59E" w:rsidR="0096045F" w:rsidRPr="0096045F" w:rsidRDefault="0096045F" w:rsidP="0032386A">
      <w:pPr>
        <w:rPr>
          <w:rFonts w:ascii="Times New Roman" w:hAnsi="Times New Roman"/>
          <w:b/>
          <w:bCs/>
          <w:sz w:val="24"/>
          <w:u w:val="single"/>
        </w:rPr>
      </w:pPr>
      <w:r w:rsidRPr="0096045F">
        <w:rPr>
          <w:rFonts w:ascii="Times New Roman" w:hAnsi="Times New Roman"/>
          <w:b/>
          <w:bCs/>
          <w:sz w:val="24"/>
          <w:u w:val="single"/>
        </w:rPr>
        <w:t xml:space="preserve">Provide Beneficial </w:t>
      </w:r>
      <w:r>
        <w:rPr>
          <w:rFonts w:ascii="Times New Roman" w:hAnsi="Times New Roman"/>
          <w:b/>
          <w:bCs/>
          <w:sz w:val="24"/>
          <w:u w:val="single"/>
        </w:rPr>
        <w:t xml:space="preserve">Local </w:t>
      </w:r>
      <w:r w:rsidRPr="0096045F">
        <w:rPr>
          <w:rFonts w:ascii="Times New Roman" w:hAnsi="Times New Roman"/>
          <w:b/>
          <w:bCs/>
          <w:sz w:val="24"/>
          <w:u w:val="single"/>
        </w:rPr>
        <w:t xml:space="preserve">Mitigation </w:t>
      </w:r>
    </w:p>
    <w:p w14:paraId="7FF4D8CF" w14:textId="77777777" w:rsidR="0096045F" w:rsidRDefault="0096045F" w:rsidP="0032386A">
      <w:pPr>
        <w:rPr>
          <w:rFonts w:ascii="Times New Roman" w:hAnsi="Times New Roman"/>
          <w:sz w:val="24"/>
        </w:rPr>
      </w:pPr>
    </w:p>
    <w:p w14:paraId="1A6E736F" w14:textId="51D1A5BE" w:rsidR="0032386A" w:rsidRDefault="00F26FEE" w:rsidP="00832287">
      <w:pPr>
        <w:rPr>
          <w:rFonts w:ascii="Times New Roman" w:hAnsi="Times New Roman"/>
          <w:sz w:val="24"/>
          <w:szCs w:val="28"/>
        </w:rPr>
      </w:pPr>
      <w:r w:rsidRPr="00832287">
        <w:rPr>
          <w:rFonts w:ascii="Times New Roman" w:hAnsi="Times New Roman"/>
          <w:sz w:val="24"/>
        </w:rPr>
        <w:t xml:space="preserve">SLUPAC notes that the state lacks a comprehensive and integrated dataset with respect to </w:t>
      </w:r>
      <w:r w:rsidR="00104F38">
        <w:rPr>
          <w:rFonts w:ascii="Times New Roman" w:hAnsi="Times New Roman"/>
          <w:sz w:val="24"/>
        </w:rPr>
        <w:t xml:space="preserve">the impacts of all the permitted multiple use activities </w:t>
      </w:r>
      <w:r w:rsidRPr="00832287">
        <w:rPr>
          <w:rFonts w:ascii="Times New Roman" w:hAnsi="Times New Roman"/>
          <w:sz w:val="24"/>
        </w:rPr>
        <w:t xml:space="preserve">on Nevada’s public lands. </w:t>
      </w:r>
      <w:r w:rsidR="0032386A">
        <w:rPr>
          <w:rFonts w:ascii="Times New Roman" w:hAnsi="Times New Roman"/>
          <w:sz w:val="24"/>
        </w:rPr>
        <w:t xml:space="preserve">As stated, the average age of </w:t>
      </w:r>
      <w:r w:rsidR="00F22268">
        <w:rPr>
          <w:rFonts w:ascii="Times New Roman" w:hAnsi="Times New Roman"/>
          <w:sz w:val="24"/>
        </w:rPr>
        <w:t>an RMP</w:t>
      </w:r>
      <w:r w:rsidR="0032386A">
        <w:rPr>
          <w:rFonts w:ascii="Times New Roman" w:hAnsi="Times New Roman"/>
          <w:sz w:val="24"/>
        </w:rPr>
        <w:t xml:space="preserve"> in Nevada is 22 years and better planning is needed to adapt to changing conditions</w:t>
      </w:r>
      <w:r w:rsidR="00D32550">
        <w:rPr>
          <w:rFonts w:ascii="Times New Roman" w:hAnsi="Times New Roman"/>
          <w:sz w:val="24"/>
        </w:rPr>
        <w:t xml:space="preserve"> and </w:t>
      </w:r>
      <w:r w:rsidR="00F22268">
        <w:rPr>
          <w:rFonts w:ascii="Times New Roman" w:hAnsi="Times New Roman"/>
          <w:sz w:val="24"/>
        </w:rPr>
        <w:t>provide</w:t>
      </w:r>
      <w:r w:rsidR="00D32550">
        <w:rPr>
          <w:rFonts w:ascii="Times New Roman" w:hAnsi="Times New Roman"/>
          <w:sz w:val="24"/>
        </w:rPr>
        <w:t xml:space="preserve"> </w:t>
      </w:r>
      <w:r w:rsidR="00D32550" w:rsidRPr="00D32550">
        <w:rPr>
          <w:rFonts w:ascii="Times New Roman" w:hAnsi="Times New Roman"/>
          <w:sz w:val="24"/>
        </w:rPr>
        <w:t>balanced</w:t>
      </w:r>
      <w:r w:rsidR="00D32550">
        <w:rPr>
          <w:rFonts w:ascii="Times New Roman" w:hAnsi="Times New Roman"/>
          <w:sz w:val="24"/>
        </w:rPr>
        <w:t xml:space="preserve"> </w:t>
      </w:r>
      <w:r w:rsidR="00D32550" w:rsidRPr="00D32550">
        <w:rPr>
          <w:rFonts w:ascii="Times New Roman" w:hAnsi="Times New Roman"/>
          <w:sz w:val="24"/>
        </w:rPr>
        <w:t>responsible development</w:t>
      </w:r>
      <w:r w:rsidR="0032386A">
        <w:rPr>
          <w:rFonts w:ascii="Times New Roman" w:hAnsi="Times New Roman"/>
          <w:sz w:val="24"/>
        </w:rPr>
        <w:t xml:space="preserve">. </w:t>
      </w:r>
      <w:r w:rsidR="0032386A" w:rsidRPr="00832287">
        <w:rPr>
          <w:rFonts w:ascii="Times New Roman" w:hAnsi="Times New Roman"/>
          <w:sz w:val="24"/>
        </w:rPr>
        <w:t xml:space="preserve">SLUPAC encourages the BLM to </w:t>
      </w:r>
      <w:r w:rsidR="0032386A">
        <w:rPr>
          <w:rFonts w:ascii="Times New Roman" w:hAnsi="Times New Roman"/>
          <w:sz w:val="24"/>
        </w:rPr>
        <w:t xml:space="preserve">update </w:t>
      </w:r>
      <w:r w:rsidR="00F22268">
        <w:rPr>
          <w:rFonts w:ascii="Times New Roman" w:hAnsi="Times New Roman"/>
          <w:sz w:val="24"/>
        </w:rPr>
        <w:t>its RMP’s</w:t>
      </w:r>
      <w:r w:rsidR="0032386A">
        <w:rPr>
          <w:rFonts w:ascii="Times New Roman" w:hAnsi="Times New Roman"/>
          <w:sz w:val="24"/>
        </w:rPr>
        <w:t xml:space="preserve"> to </w:t>
      </w:r>
      <w:r w:rsidR="0032386A" w:rsidRPr="00832287">
        <w:rPr>
          <w:rFonts w:ascii="Times New Roman" w:hAnsi="Times New Roman"/>
          <w:sz w:val="24"/>
        </w:rPr>
        <w:t>provide a full accounting and mapping of</w:t>
      </w:r>
      <w:r w:rsidR="00F22268">
        <w:rPr>
          <w:rFonts w:ascii="Times New Roman" w:hAnsi="Times New Roman"/>
          <w:sz w:val="24"/>
        </w:rPr>
        <w:t xml:space="preserve"> the</w:t>
      </w:r>
      <w:r w:rsidR="0032386A" w:rsidRPr="00832287">
        <w:rPr>
          <w:rFonts w:ascii="Times New Roman" w:hAnsi="Times New Roman"/>
          <w:sz w:val="24"/>
        </w:rPr>
        <w:t xml:space="preserve"> </w:t>
      </w:r>
      <w:r w:rsidR="0032386A">
        <w:rPr>
          <w:rFonts w:ascii="Times New Roman" w:hAnsi="Times New Roman"/>
          <w:sz w:val="24"/>
        </w:rPr>
        <w:t>multiple use activities</w:t>
      </w:r>
      <w:r w:rsidR="0032386A" w:rsidRPr="00832287">
        <w:rPr>
          <w:rFonts w:ascii="Times New Roman" w:hAnsi="Times New Roman"/>
          <w:sz w:val="24"/>
        </w:rPr>
        <w:t xml:space="preserve"> that have been permitted or proposed on </w:t>
      </w:r>
      <w:r w:rsidR="0032386A" w:rsidRPr="00832287">
        <w:rPr>
          <w:rFonts w:ascii="Times New Roman" w:hAnsi="Times New Roman"/>
          <w:sz w:val="24"/>
        </w:rPr>
        <w:lastRenderedPageBreak/>
        <w:t>public lands</w:t>
      </w:r>
      <w:r w:rsidR="00191137">
        <w:rPr>
          <w:rFonts w:ascii="Times New Roman" w:hAnsi="Times New Roman"/>
          <w:sz w:val="24"/>
        </w:rPr>
        <w:t xml:space="preserve"> in Nevada</w:t>
      </w:r>
      <w:r w:rsidR="0032386A">
        <w:rPr>
          <w:rFonts w:ascii="Times New Roman" w:hAnsi="Times New Roman"/>
          <w:sz w:val="24"/>
        </w:rPr>
        <w:t xml:space="preserve">. This accounting and mapping of these activities will </w:t>
      </w:r>
      <w:r w:rsidR="00D32550">
        <w:rPr>
          <w:rFonts w:ascii="Times New Roman" w:hAnsi="Times New Roman"/>
          <w:sz w:val="24"/>
        </w:rPr>
        <w:t xml:space="preserve">also </w:t>
      </w:r>
      <w:r w:rsidR="0032386A">
        <w:rPr>
          <w:rFonts w:ascii="Times New Roman" w:hAnsi="Times New Roman"/>
          <w:sz w:val="24"/>
        </w:rPr>
        <w:t xml:space="preserve">allow the </w:t>
      </w:r>
      <w:r w:rsidR="0032386A">
        <w:rPr>
          <w:rFonts w:ascii="Times New Roman" w:hAnsi="Times New Roman"/>
          <w:sz w:val="24"/>
          <w:szCs w:val="28"/>
        </w:rPr>
        <w:t>State, Tribal Nations, and Local Governments in Nevada to better understand the impacts of these uses</w:t>
      </w:r>
      <w:r w:rsidR="00184406">
        <w:rPr>
          <w:rFonts w:ascii="Times New Roman" w:hAnsi="Times New Roman"/>
          <w:sz w:val="24"/>
          <w:szCs w:val="28"/>
        </w:rPr>
        <w:t xml:space="preserve"> and provide for mitigation</w:t>
      </w:r>
      <w:r w:rsidR="00DD713D">
        <w:rPr>
          <w:rFonts w:ascii="Times New Roman" w:hAnsi="Times New Roman"/>
          <w:sz w:val="24"/>
          <w:szCs w:val="28"/>
        </w:rPr>
        <w:t xml:space="preserve"> in their own planning processes. </w:t>
      </w:r>
    </w:p>
    <w:p w14:paraId="22832595" w14:textId="77777777" w:rsidR="00F22268" w:rsidRDefault="00F22268" w:rsidP="00832287">
      <w:pPr>
        <w:rPr>
          <w:rFonts w:ascii="Times New Roman" w:hAnsi="Times New Roman"/>
          <w:sz w:val="24"/>
          <w:szCs w:val="28"/>
        </w:rPr>
      </w:pPr>
    </w:p>
    <w:p w14:paraId="30E2DBF7" w14:textId="5401AFD2" w:rsidR="00F22268" w:rsidRDefault="00F22268" w:rsidP="00832287">
      <w:pPr>
        <w:rPr>
          <w:rFonts w:ascii="Times New Roman" w:hAnsi="Times New Roman"/>
          <w:sz w:val="24"/>
        </w:rPr>
      </w:pPr>
      <w:r>
        <w:rPr>
          <w:rFonts w:ascii="Times New Roman" w:hAnsi="Times New Roman"/>
          <w:sz w:val="24"/>
          <w:szCs w:val="28"/>
        </w:rPr>
        <w:t xml:space="preserve">SLUPAC believes that improvements can be made to current management </w:t>
      </w:r>
      <w:r w:rsidR="00857723">
        <w:rPr>
          <w:rFonts w:ascii="Times New Roman" w:hAnsi="Times New Roman"/>
          <w:sz w:val="24"/>
          <w:szCs w:val="28"/>
        </w:rPr>
        <w:t>practices</w:t>
      </w:r>
      <w:r>
        <w:rPr>
          <w:rFonts w:ascii="Times New Roman" w:hAnsi="Times New Roman"/>
          <w:sz w:val="24"/>
          <w:szCs w:val="28"/>
        </w:rPr>
        <w:t xml:space="preserve"> to provide </w:t>
      </w:r>
      <w:r w:rsidRPr="00F22268">
        <w:rPr>
          <w:rFonts w:ascii="Times New Roman" w:hAnsi="Times New Roman"/>
          <w:sz w:val="24"/>
          <w:szCs w:val="28"/>
        </w:rPr>
        <w:t>a clear</w:t>
      </w:r>
      <w:r>
        <w:rPr>
          <w:rFonts w:ascii="Times New Roman" w:hAnsi="Times New Roman"/>
          <w:sz w:val="24"/>
          <w:szCs w:val="28"/>
        </w:rPr>
        <w:t>er</w:t>
      </w:r>
      <w:r w:rsidRPr="00F22268">
        <w:rPr>
          <w:rFonts w:ascii="Times New Roman" w:hAnsi="Times New Roman"/>
          <w:sz w:val="24"/>
          <w:szCs w:val="28"/>
        </w:rPr>
        <w:t xml:space="preserve"> path for compensatory mitigation</w:t>
      </w:r>
      <w:r>
        <w:rPr>
          <w:rFonts w:ascii="Times New Roman" w:hAnsi="Times New Roman"/>
          <w:sz w:val="24"/>
          <w:szCs w:val="28"/>
        </w:rPr>
        <w:t xml:space="preserve">. Any mitigation that is done to offset the impacts of a </w:t>
      </w:r>
      <w:r w:rsidR="00857723">
        <w:rPr>
          <w:rFonts w:ascii="Times New Roman" w:hAnsi="Times New Roman"/>
          <w:sz w:val="24"/>
          <w:szCs w:val="28"/>
        </w:rPr>
        <w:t>project</w:t>
      </w:r>
      <w:r>
        <w:rPr>
          <w:rFonts w:ascii="Times New Roman" w:hAnsi="Times New Roman"/>
          <w:sz w:val="24"/>
          <w:szCs w:val="28"/>
        </w:rPr>
        <w:t xml:space="preserve"> should be done in ways that are consistent with local land use plans</w:t>
      </w:r>
      <w:r w:rsidR="004B08DB">
        <w:rPr>
          <w:rFonts w:ascii="Times New Roman" w:hAnsi="Times New Roman"/>
          <w:sz w:val="24"/>
          <w:szCs w:val="28"/>
        </w:rPr>
        <w:t xml:space="preserve"> and policies.  </w:t>
      </w:r>
      <w:r>
        <w:rPr>
          <w:rFonts w:ascii="Times New Roman" w:hAnsi="Times New Roman"/>
          <w:sz w:val="24"/>
          <w:szCs w:val="28"/>
        </w:rPr>
        <w:t xml:space="preserve">Additionally, mitigation should be done where </w:t>
      </w:r>
      <w:r w:rsidR="00583AE9">
        <w:rPr>
          <w:rFonts w:ascii="Times New Roman" w:hAnsi="Times New Roman"/>
          <w:sz w:val="24"/>
          <w:szCs w:val="28"/>
        </w:rPr>
        <w:t>the</w:t>
      </w:r>
      <w:r>
        <w:rPr>
          <w:rFonts w:ascii="Times New Roman" w:hAnsi="Times New Roman"/>
          <w:sz w:val="24"/>
          <w:szCs w:val="28"/>
        </w:rPr>
        <w:t xml:space="preserve"> project is located and should be to the benefit of a local community that is impacted by the project.  </w:t>
      </w:r>
    </w:p>
    <w:p w14:paraId="6C916248" w14:textId="77777777" w:rsidR="0032386A" w:rsidRDefault="0032386A" w:rsidP="00832287">
      <w:pPr>
        <w:rPr>
          <w:rFonts w:ascii="Times New Roman" w:hAnsi="Times New Roman"/>
          <w:sz w:val="24"/>
        </w:rPr>
      </w:pPr>
    </w:p>
    <w:p w14:paraId="1970F02A" w14:textId="77777777" w:rsidR="00280672" w:rsidRPr="00280672" w:rsidRDefault="00280672" w:rsidP="00280672">
      <w:pPr>
        <w:rPr>
          <w:rFonts w:ascii="Times New Roman" w:hAnsi="Times New Roman"/>
          <w:b/>
          <w:bCs/>
          <w:sz w:val="24"/>
          <w:u w:val="single"/>
        </w:rPr>
      </w:pPr>
      <w:r w:rsidRPr="00280672">
        <w:rPr>
          <w:rFonts w:ascii="Times New Roman" w:hAnsi="Times New Roman"/>
          <w:b/>
          <w:bCs/>
          <w:sz w:val="24"/>
          <w:u w:val="single"/>
        </w:rPr>
        <w:t>Specific Comments Requested on Proposed Public Lands Rule</w:t>
      </w:r>
    </w:p>
    <w:p w14:paraId="1CBA27C5" w14:textId="77777777" w:rsidR="00280672" w:rsidRPr="00832287" w:rsidRDefault="00280672" w:rsidP="00280672">
      <w:pPr>
        <w:rPr>
          <w:rFonts w:ascii="Times New Roman" w:hAnsi="Times New Roman"/>
          <w:sz w:val="24"/>
        </w:rPr>
      </w:pPr>
    </w:p>
    <w:p w14:paraId="2C945FFF" w14:textId="2CF5BF6E" w:rsidR="00280672" w:rsidRPr="00832287" w:rsidRDefault="00280672" w:rsidP="00280672">
      <w:pPr>
        <w:rPr>
          <w:rFonts w:ascii="Times New Roman" w:hAnsi="Times New Roman"/>
          <w:sz w:val="24"/>
        </w:rPr>
      </w:pPr>
      <w:r w:rsidRPr="00832287">
        <w:rPr>
          <w:rFonts w:ascii="Times New Roman" w:hAnsi="Times New Roman"/>
          <w:sz w:val="24"/>
        </w:rPr>
        <w:t xml:space="preserve">The BLM specifically requested comments on several aspects of the conservation lease </w:t>
      </w:r>
      <w:r w:rsidR="004D4A1C">
        <w:rPr>
          <w:rFonts w:ascii="Times New Roman" w:hAnsi="Times New Roman"/>
          <w:sz w:val="24"/>
        </w:rPr>
        <w:t>Proposed Rule</w:t>
      </w:r>
      <w:r w:rsidRPr="00832287">
        <w:rPr>
          <w:rFonts w:ascii="Times New Roman" w:hAnsi="Times New Roman"/>
          <w:sz w:val="24"/>
        </w:rPr>
        <w:t xml:space="preserve">. </w:t>
      </w:r>
      <w:r>
        <w:rPr>
          <w:rFonts w:ascii="Times New Roman" w:hAnsi="Times New Roman"/>
          <w:sz w:val="24"/>
        </w:rPr>
        <w:t>SLUPAC provides the following</w:t>
      </w:r>
      <w:r w:rsidRPr="00832287">
        <w:rPr>
          <w:rFonts w:ascii="Times New Roman" w:hAnsi="Times New Roman"/>
          <w:sz w:val="24"/>
        </w:rPr>
        <w:t xml:space="preserve"> comments to each of BLM’s scoping questions below</w:t>
      </w:r>
      <w:r w:rsidRPr="00832287">
        <w:rPr>
          <w:rFonts w:ascii="Times New Roman" w:hAnsi="Times New Roman"/>
          <w:i/>
          <w:iCs/>
          <w:sz w:val="24"/>
        </w:rPr>
        <w:t>:</w:t>
      </w:r>
    </w:p>
    <w:p w14:paraId="533392A7" w14:textId="77777777" w:rsidR="00280672" w:rsidRPr="00832287" w:rsidRDefault="00280672" w:rsidP="00280672">
      <w:pPr>
        <w:pStyle w:val="ListParagraph"/>
        <w:ind w:left="0"/>
        <w:rPr>
          <w:i/>
          <w:iCs/>
        </w:rPr>
      </w:pPr>
    </w:p>
    <w:p w14:paraId="7C8DE269" w14:textId="77777777" w:rsidR="00280672" w:rsidRPr="00280672" w:rsidRDefault="00280672" w:rsidP="00280672">
      <w:pPr>
        <w:pStyle w:val="ListParagraph"/>
        <w:numPr>
          <w:ilvl w:val="0"/>
          <w:numId w:val="3"/>
        </w:numPr>
        <w:ind w:left="450"/>
        <w:rPr>
          <w:i/>
          <w:iCs/>
          <w:u w:val="single"/>
        </w:rPr>
      </w:pPr>
      <w:r w:rsidRPr="00280672">
        <w:rPr>
          <w:i/>
          <w:iCs/>
          <w:u w:val="single"/>
        </w:rPr>
        <w:t>The BLM welcomes comments on how applying the fundamentals of land health beyond lands allocated to grazing will interact with BLM’s management of non-renewable resources.</w:t>
      </w:r>
    </w:p>
    <w:p w14:paraId="6A33DCDD" w14:textId="64B9648B" w:rsidR="00280672" w:rsidRPr="00832287" w:rsidRDefault="00280672" w:rsidP="00280672">
      <w:pPr>
        <w:pStyle w:val="ListParagraph"/>
        <w:ind w:left="450"/>
        <w:rPr>
          <w:b/>
          <w:bCs/>
          <w:i/>
          <w:iCs/>
          <w:u w:val="single"/>
        </w:rPr>
      </w:pPr>
      <w:r w:rsidRPr="00832287">
        <w:t xml:space="preserve">Taken in the context of this </w:t>
      </w:r>
      <w:r w:rsidR="004D4A1C">
        <w:t>Proposed Rule</w:t>
      </w:r>
      <w:r w:rsidRPr="00832287">
        <w:t xml:space="preserve"> as it is written and described in the Federal Register this is not at all clear. Assessing the land health across the ~248 million acres that the BLM manages seems a worthy, but monumental task – a task that it is not at all clear that the BLM has the capacity to carry out. Non-renewable mineral extraction is critical to the economies of our state, many of our counties, and to our national security. If this </w:t>
      </w:r>
      <w:r w:rsidR="004D4A1C">
        <w:t>Proposed Rule</w:t>
      </w:r>
      <w:r w:rsidRPr="00832287">
        <w:t xml:space="preserve"> is moved forward the BLM needs to very explicitly define how it will balance the designation of ACECs and Conservation Leasing with </w:t>
      </w:r>
      <w:r w:rsidR="006C4B04">
        <w:t>multiple-use principles</w:t>
      </w:r>
      <w:r w:rsidRPr="00832287">
        <w:t>. In most instances</w:t>
      </w:r>
      <w:r w:rsidR="006C4B04">
        <w:t>, mineral</w:t>
      </w:r>
      <w:r w:rsidRPr="00832287">
        <w:t xml:space="preserve"> </w:t>
      </w:r>
      <w:r w:rsidR="00DA32E3" w:rsidRPr="00832287">
        <w:t>exploration</w:t>
      </w:r>
      <w:r w:rsidR="00DA32E3">
        <w:t>, grazing,</w:t>
      </w:r>
      <w:r w:rsidR="004B08DB">
        <w:t xml:space="preserve"> and other uses</w:t>
      </w:r>
      <w:r w:rsidRPr="00832287">
        <w:t xml:space="preserve"> can be done without compromising long term land health. </w:t>
      </w:r>
      <w:r w:rsidR="004B08DB">
        <w:t xml:space="preserve">Additionally, it is unclear how BLM would apply land health standards to </w:t>
      </w:r>
      <w:r w:rsidR="009F2DAC">
        <w:t xml:space="preserve">other </w:t>
      </w:r>
      <w:r w:rsidR="004B08DB">
        <w:t>non-permitted</w:t>
      </w:r>
      <w:r w:rsidR="009F2DAC">
        <w:t xml:space="preserve"> uses</w:t>
      </w:r>
      <w:r w:rsidR="004B08DB">
        <w:t xml:space="preserve">. </w:t>
      </w:r>
      <w:r w:rsidR="006C4B04">
        <w:t>SLUPAC supports evaluation of land health through</w:t>
      </w:r>
      <w:r w:rsidRPr="00832287">
        <w:t xml:space="preserve"> a PEIS process with robust </w:t>
      </w:r>
      <w:r w:rsidR="006C4B04">
        <w:t xml:space="preserve">public </w:t>
      </w:r>
      <w:r w:rsidRPr="00832287">
        <w:t xml:space="preserve">input. </w:t>
      </w:r>
      <w:r w:rsidRPr="00832287">
        <w:br/>
      </w:r>
    </w:p>
    <w:p w14:paraId="62ACFAE7" w14:textId="13BD9256" w:rsidR="00280672" w:rsidRPr="00832287" w:rsidRDefault="00280672" w:rsidP="00280672">
      <w:pPr>
        <w:pStyle w:val="ListParagraph"/>
        <w:numPr>
          <w:ilvl w:val="0"/>
          <w:numId w:val="3"/>
        </w:numPr>
        <w:ind w:left="450"/>
        <w:rPr>
          <w:i/>
          <w:iCs/>
        </w:rPr>
      </w:pPr>
      <w:r w:rsidRPr="00280672">
        <w:rPr>
          <w:i/>
          <w:iCs/>
          <w:u w:val="single"/>
        </w:rPr>
        <w:t>Is the term “conservation lease” the best term for this tool?</w:t>
      </w:r>
      <w:r w:rsidRPr="00832287">
        <w:t xml:space="preserve"> It seems like an appropriate term</w:t>
      </w:r>
      <w:r w:rsidR="00DD043A">
        <w:t xml:space="preserve"> if BLM </w:t>
      </w:r>
      <w:r w:rsidR="00F32F83">
        <w:t>chooses</w:t>
      </w:r>
      <w:r w:rsidR="00DD043A">
        <w:t xml:space="preserve"> to move forward </w:t>
      </w:r>
      <w:r w:rsidR="00DA32E3">
        <w:t>with a clear</w:t>
      </w:r>
      <w:r w:rsidR="00DD043A">
        <w:t xml:space="preserve"> definition of conservation</w:t>
      </w:r>
      <w:r w:rsidR="00036F03">
        <w:t>.</w:t>
      </w:r>
      <w:r w:rsidR="00036F03" w:rsidRPr="00832287" w:rsidDel="00036F03">
        <w:t xml:space="preserve"> </w:t>
      </w:r>
      <w:r w:rsidRPr="00832287">
        <w:rPr>
          <w:i/>
          <w:iCs/>
        </w:rPr>
        <w:br/>
      </w:r>
    </w:p>
    <w:p w14:paraId="212249FC" w14:textId="25FCDA9E" w:rsidR="00280672" w:rsidRPr="00832287" w:rsidRDefault="00280672" w:rsidP="00280672">
      <w:pPr>
        <w:pStyle w:val="ListParagraph"/>
        <w:numPr>
          <w:ilvl w:val="0"/>
          <w:numId w:val="3"/>
        </w:numPr>
        <w:ind w:left="450"/>
        <w:rPr>
          <w:i/>
          <w:iCs/>
        </w:rPr>
      </w:pPr>
      <w:r w:rsidRPr="00280672">
        <w:rPr>
          <w:i/>
          <w:iCs/>
          <w:u w:val="single"/>
        </w:rPr>
        <w:t>What is the appropriate default duration for conservations leases?</w:t>
      </w:r>
      <w:r w:rsidRPr="00832287">
        <w:t xml:space="preserve">  Given the BLM’s “multiple-use and sustained-yield mandates to manage public lands for resilience and future productivity” and given the noted accelerated changes that are occurring within ecosystems it seems important for the BLM to maintain a higher degree of flexibility and nimbleness in land management. In some instances, “restoration” activities can be successful in a relatively short period of time; in other instances, the importance and value of a certain leased area may be so diminished by </w:t>
      </w:r>
      <w:r w:rsidR="00E55580">
        <w:t>environmental</w:t>
      </w:r>
      <w:r w:rsidRPr="00832287">
        <w:t xml:space="preserve"> events (</w:t>
      </w:r>
      <w:r w:rsidR="00E55580">
        <w:t xml:space="preserve">such as </w:t>
      </w:r>
      <w:r w:rsidRPr="00832287">
        <w:t xml:space="preserve">wildfire) to eliminate any of the affected area’s potential to contribute to a “resilient ecosystem” or a conservation </w:t>
      </w:r>
      <w:r w:rsidR="00B827F4">
        <w:t>lease</w:t>
      </w:r>
      <w:r w:rsidRPr="00832287">
        <w:t xml:space="preserve">. In the interest of nimble and responsive management BLM should monitor active conservation leases frequently and make lease durations </w:t>
      </w:r>
      <w:r w:rsidR="00E55580">
        <w:t>site specific depending on condition and restoration need</w:t>
      </w:r>
      <w:r w:rsidRPr="00832287">
        <w:br/>
      </w:r>
    </w:p>
    <w:p w14:paraId="3B7D08C3" w14:textId="052CA0E5" w:rsidR="00280672" w:rsidRPr="00832287" w:rsidRDefault="00280672" w:rsidP="00280672">
      <w:pPr>
        <w:pStyle w:val="ListParagraph"/>
        <w:numPr>
          <w:ilvl w:val="0"/>
          <w:numId w:val="3"/>
        </w:numPr>
        <w:ind w:left="450"/>
        <w:rPr>
          <w:i/>
          <w:iCs/>
        </w:rPr>
      </w:pPr>
      <w:r w:rsidRPr="00280672">
        <w:rPr>
          <w:i/>
          <w:iCs/>
          <w:u w:val="single"/>
        </w:rPr>
        <w:t>Should the rule constrain which lands are available for conservation leasing?</w:t>
      </w:r>
      <w:r w:rsidRPr="00832287">
        <w:rPr>
          <w:i/>
          <w:iCs/>
        </w:rPr>
        <w:t xml:space="preserve"> </w:t>
      </w:r>
      <w:r w:rsidRPr="00832287">
        <w:t xml:space="preserve">Yes, without succinctly delineating the land that would be available for conservation leasing there is a very real possibility that conservation leases will supersede and crowd out </w:t>
      </w:r>
      <w:r w:rsidR="00E55580">
        <w:t>other</w:t>
      </w:r>
      <w:r w:rsidR="00E55580" w:rsidRPr="00832287">
        <w:t xml:space="preserve"> </w:t>
      </w:r>
      <w:r w:rsidRPr="00832287">
        <w:t xml:space="preserve">productive uses.  If this </w:t>
      </w:r>
      <w:r w:rsidR="004D4A1C">
        <w:t>Proposed Rule</w:t>
      </w:r>
      <w:r w:rsidRPr="00832287">
        <w:t xml:space="preserve"> is implemented, the lands available for conservation leases should be defined by </w:t>
      </w:r>
      <w:r w:rsidRPr="00832287">
        <w:lastRenderedPageBreak/>
        <w:t>Resource Management Plans, and eligibility for conservation leasing should align with local land use plans</w:t>
      </w:r>
      <w:r w:rsidR="00B827F4">
        <w:t xml:space="preserve"> and policies</w:t>
      </w:r>
      <w:r w:rsidRPr="00832287">
        <w:t xml:space="preserve">. The BLM has an obligation under Section 202(c) of FLPMA to “coordinate the land use inventory, planning, and management activities of the Bureau… with the land use planning and management programs of the State and local governments.”  </w:t>
      </w:r>
      <w:r w:rsidR="00B827F4">
        <w:t xml:space="preserve">NEPA has a similar mandate to analyze and address inconsistencies with local land use plans and policies. </w:t>
      </w:r>
      <w:r w:rsidRPr="00832287">
        <w:t xml:space="preserve">As such, BLM has an obligation to define and inventory which lands will be made available for conservations leasing, and ACECs, and to coordinate those efforts with </w:t>
      </w:r>
      <w:r w:rsidR="00770964">
        <w:t xml:space="preserve">local </w:t>
      </w:r>
      <w:r w:rsidRPr="00832287">
        <w:t>land use plans</w:t>
      </w:r>
      <w:r w:rsidR="00770964">
        <w:t xml:space="preserve"> and policies</w:t>
      </w:r>
      <w:r w:rsidRPr="00832287">
        <w:t>.</w:t>
      </w:r>
      <w:r w:rsidRPr="00832287">
        <w:br/>
      </w:r>
    </w:p>
    <w:p w14:paraId="46C5EDDE" w14:textId="1C252079" w:rsidR="00280672" w:rsidRPr="00832287" w:rsidRDefault="00280672" w:rsidP="00280672">
      <w:pPr>
        <w:pStyle w:val="ListParagraph"/>
        <w:numPr>
          <w:ilvl w:val="0"/>
          <w:numId w:val="3"/>
        </w:numPr>
        <w:ind w:left="450"/>
        <w:rPr>
          <w:b/>
          <w:bCs/>
          <w:i/>
          <w:iCs/>
          <w:u w:val="single"/>
        </w:rPr>
      </w:pPr>
      <w:r w:rsidRPr="00280672">
        <w:rPr>
          <w:i/>
          <w:iCs/>
          <w:u w:val="single"/>
        </w:rPr>
        <w:t>Should the rule clarify what actions conservation leases may allow?</w:t>
      </w:r>
      <w:r w:rsidRPr="00832287">
        <w:t xml:space="preserve"> Yes, and since there are many existing uses under the multiple use framework that are generally compatible with conservation and restoration, the BLM should be clear and permissive in establishing acceptable actions on conservation leases. For example, grazing is an excellent conservation tool in the prevention of wildfire and other beneficial land management practices. Most outdoor recreation including hunting, fishing, camping, etc. can also be compatible with conservation and restoration, and as such should be included as permissible actions within conservation leasing. Potential conservation lease purchasers should know well in advance the actions and activities to be allowed under a conservation lease. Permissible activities on conservation leases should be widely transparent to the public</w:t>
      </w:r>
      <w:r w:rsidR="00036F03">
        <w:t>.</w:t>
      </w:r>
      <w:r w:rsidRPr="00832287">
        <w:br/>
      </w:r>
    </w:p>
    <w:p w14:paraId="32432D00" w14:textId="3C501301" w:rsidR="00280672" w:rsidRPr="00832287" w:rsidRDefault="00280672" w:rsidP="00280672">
      <w:pPr>
        <w:pStyle w:val="ListParagraph"/>
        <w:numPr>
          <w:ilvl w:val="0"/>
          <w:numId w:val="3"/>
        </w:numPr>
        <w:ind w:left="450"/>
        <w:rPr>
          <w:b/>
          <w:bCs/>
          <w:i/>
          <w:iCs/>
          <w:u w:val="single"/>
        </w:rPr>
      </w:pPr>
      <w:r w:rsidRPr="00280672">
        <w:rPr>
          <w:i/>
          <w:iCs/>
          <w:u w:val="single"/>
        </w:rPr>
        <w:t>Should the rule expressly authorize the use of conservation leases to generate carbon offset credits?</w:t>
      </w:r>
      <w:r w:rsidRPr="00832287">
        <w:t xml:space="preserve">  </w:t>
      </w:r>
      <w:r w:rsidR="00E55580">
        <w:t>If a lessee demonstrates</w:t>
      </w:r>
      <w:r w:rsidRPr="00832287">
        <w:t xml:space="preserve"> clear and convincing evidence that carbon capture or sequestration</w:t>
      </w:r>
      <w:r w:rsidR="00E55580">
        <w:t xml:space="preserve"> will be achieved, the generation of offset credits is supportable</w:t>
      </w:r>
      <w:r w:rsidRPr="00832287">
        <w:t xml:space="preserve">.  </w:t>
      </w:r>
    </w:p>
    <w:p w14:paraId="56221A30" w14:textId="77777777" w:rsidR="00280672" w:rsidRPr="00832287" w:rsidRDefault="00280672" w:rsidP="00280672">
      <w:pPr>
        <w:pStyle w:val="ListParagraph"/>
        <w:ind w:left="450"/>
        <w:rPr>
          <w:b/>
          <w:bCs/>
          <w:i/>
          <w:iCs/>
          <w:u w:val="single"/>
        </w:rPr>
      </w:pPr>
    </w:p>
    <w:p w14:paraId="75537E53" w14:textId="4F1667A8" w:rsidR="00280672" w:rsidRPr="00280672" w:rsidRDefault="00280672" w:rsidP="00280672">
      <w:pPr>
        <w:pStyle w:val="ListParagraph"/>
        <w:numPr>
          <w:ilvl w:val="0"/>
          <w:numId w:val="3"/>
        </w:numPr>
        <w:ind w:left="450"/>
        <w:rPr>
          <w:b/>
          <w:bCs/>
          <w:i/>
          <w:iCs/>
          <w:u w:val="single"/>
        </w:rPr>
      </w:pPr>
      <w:r w:rsidRPr="00280672">
        <w:rPr>
          <w:i/>
          <w:iCs/>
          <w:u w:val="single"/>
        </w:rPr>
        <w:t>Should conservation leases be limited to protecting or restoring specific resources, such as wildlife habitat, public water supply watersheds, or cultural resources?</w:t>
      </w:r>
      <w:r w:rsidRPr="00832287">
        <w:t xml:space="preserve"> Yes, </w:t>
      </w:r>
      <w:r w:rsidR="00E55580">
        <w:t xml:space="preserve">SLUPAC supports clearly identifying the specific resources to protect </w:t>
      </w:r>
      <w:r w:rsidR="00CC19DA">
        <w:t xml:space="preserve">or restore </w:t>
      </w:r>
      <w:r w:rsidR="00E55580">
        <w:t xml:space="preserve">in order to help mitigate speculative leasing.  </w:t>
      </w:r>
      <w:r w:rsidRPr="00832287">
        <w:t>Conservation leases should</w:t>
      </w:r>
      <w:r w:rsidR="008D3E2C">
        <w:t xml:space="preserve"> </w:t>
      </w:r>
      <w:r w:rsidR="00F32F83">
        <w:t xml:space="preserve">be </w:t>
      </w:r>
      <w:r w:rsidR="008D3E2C">
        <w:t>consistent with local land use plans</w:t>
      </w:r>
      <w:r w:rsidR="00CC19DA">
        <w:t xml:space="preserve"> and policies</w:t>
      </w:r>
      <w:r w:rsidR="008D3E2C">
        <w:t xml:space="preserve"> and</w:t>
      </w:r>
      <w:r w:rsidRPr="00832287">
        <w:t xml:space="preserve"> have clear and measurable </w:t>
      </w:r>
      <w:r w:rsidR="00CC19DA">
        <w:t xml:space="preserve">objectives </w:t>
      </w:r>
      <w:r w:rsidRPr="00832287">
        <w:t>towards the restoration of the affected ecosystem</w:t>
      </w:r>
      <w:r w:rsidR="00CC19DA">
        <w:t xml:space="preserve"> and be framed in the context of what is ecologically possible given any specific site’s ecological state. The use of Ecological Site Descriptions and associated State and Transition Models must be used to help guide conservation lease actions and objectives. </w:t>
      </w:r>
      <w:r w:rsidRPr="00832287">
        <w:t xml:space="preserve">These </w:t>
      </w:r>
      <w:r w:rsidR="00CC19DA">
        <w:t xml:space="preserve">objectives </w:t>
      </w:r>
      <w:r w:rsidRPr="00832287">
        <w:t xml:space="preserve">should be publicly stated and transparent in the </w:t>
      </w:r>
      <w:r w:rsidR="004D4A1C">
        <w:t>Proposed Rule</w:t>
      </w:r>
      <w:r w:rsidRPr="00832287">
        <w:t xml:space="preserve"> that seeks to create these conservation lease instruments. Monitoring of conservation leases towards stated </w:t>
      </w:r>
      <w:r w:rsidR="00CC19DA">
        <w:t xml:space="preserve">and measurable objectives </w:t>
      </w:r>
      <w:r w:rsidRPr="00832287">
        <w:t xml:space="preserve">should also be part of the process. </w:t>
      </w:r>
    </w:p>
    <w:p w14:paraId="7D38C08D" w14:textId="77777777" w:rsidR="00280672" w:rsidRPr="00280672" w:rsidRDefault="00280672" w:rsidP="00280672">
      <w:pPr>
        <w:rPr>
          <w:b/>
          <w:bCs/>
          <w:i/>
          <w:iCs/>
          <w:u w:val="single"/>
        </w:rPr>
      </w:pPr>
    </w:p>
    <w:p w14:paraId="78BB2BB3" w14:textId="7C1FE154" w:rsidR="00FF316A" w:rsidRPr="00832287" w:rsidRDefault="003B7E4B" w:rsidP="00832287">
      <w:pPr>
        <w:rPr>
          <w:rFonts w:ascii="Times New Roman" w:hAnsi="Times New Roman"/>
          <w:sz w:val="24"/>
        </w:rPr>
      </w:pPr>
      <w:r>
        <w:rPr>
          <w:rFonts w:ascii="Times New Roman" w:hAnsi="Times New Roman"/>
          <w:sz w:val="24"/>
        </w:rPr>
        <w:t xml:space="preserve">SLUPAC looks forward to continuing to work with the BLM to </w:t>
      </w:r>
      <w:r w:rsidR="00CC19DA">
        <w:rPr>
          <w:rFonts w:ascii="Times New Roman" w:hAnsi="Times New Roman"/>
          <w:sz w:val="24"/>
        </w:rPr>
        <w:t>strengthen a</w:t>
      </w:r>
      <w:r w:rsidRPr="002F09F5">
        <w:rPr>
          <w:rFonts w:ascii="Times New Roman" w:hAnsi="Times New Roman"/>
          <w:sz w:val="24"/>
        </w:rPr>
        <w:t xml:space="preserve"> framework to ensure healthy</w:t>
      </w:r>
      <w:r w:rsidR="00CC19DA">
        <w:rPr>
          <w:rFonts w:ascii="Times New Roman" w:hAnsi="Times New Roman"/>
          <w:sz w:val="24"/>
        </w:rPr>
        <w:t>, working</w:t>
      </w:r>
      <w:r w:rsidRPr="002F09F5">
        <w:rPr>
          <w:rFonts w:ascii="Times New Roman" w:hAnsi="Times New Roman"/>
          <w:sz w:val="24"/>
        </w:rPr>
        <w:t xml:space="preserve"> landscapes, abundant wildlife habitat, clean water</w:t>
      </w:r>
      <w:r w:rsidR="00CC19DA">
        <w:rPr>
          <w:rFonts w:ascii="Times New Roman" w:hAnsi="Times New Roman"/>
          <w:sz w:val="24"/>
        </w:rPr>
        <w:t xml:space="preserve">, stable and vibrant socioeconomic conditions, </w:t>
      </w:r>
      <w:r w:rsidRPr="002F09F5">
        <w:rPr>
          <w:rFonts w:ascii="Times New Roman" w:hAnsi="Times New Roman"/>
          <w:sz w:val="24"/>
        </w:rPr>
        <w:t xml:space="preserve">and balanced decision-making on </w:t>
      </w:r>
      <w:r>
        <w:rPr>
          <w:rFonts w:ascii="Times New Roman" w:hAnsi="Times New Roman"/>
          <w:sz w:val="24"/>
        </w:rPr>
        <w:t>Nevada’s</w:t>
      </w:r>
      <w:r w:rsidRPr="002F09F5">
        <w:rPr>
          <w:rFonts w:ascii="Times New Roman" w:hAnsi="Times New Roman"/>
          <w:sz w:val="24"/>
        </w:rPr>
        <w:t xml:space="preserve"> public lands.</w:t>
      </w:r>
      <w:r>
        <w:rPr>
          <w:rFonts w:ascii="Times New Roman" w:hAnsi="Times New Roman"/>
          <w:sz w:val="24"/>
        </w:rPr>
        <w:t xml:space="preserve"> We </w:t>
      </w:r>
      <w:r w:rsidR="00DD7DD6" w:rsidRPr="00832287">
        <w:rPr>
          <w:rFonts w:ascii="Times New Roman" w:hAnsi="Times New Roman"/>
          <w:sz w:val="24"/>
        </w:rPr>
        <w:t xml:space="preserve">appreciate the opportunity to provide </w:t>
      </w:r>
      <w:r w:rsidR="00931C93" w:rsidRPr="00832287">
        <w:rPr>
          <w:rFonts w:ascii="Times New Roman" w:hAnsi="Times New Roman"/>
          <w:sz w:val="24"/>
        </w:rPr>
        <w:t xml:space="preserve">these </w:t>
      </w:r>
      <w:r w:rsidR="00DD7DD6" w:rsidRPr="00832287">
        <w:rPr>
          <w:rFonts w:ascii="Times New Roman" w:hAnsi="Times New Roman"/>
          <w:sz w:val="24"/>
        </w:rPr>
        <w:t xml:space="preserve">comments on the </w:t>
      </w:r>
      <w:r w:rsidR="00F32F83">
        <w:rPr>
          <w:rFonts w:ascii="Times New Roman" w:hAnsi="Times New Roman"/>
          <w:sz w:val="24"/>
        </w:rPr>
        <w:t>Proposed Rule</w:t>
      </w:r>
      <w:r>
        <w:rPr>
          <w:rFonts w:ascii="Times New Roman" w:hAnsi="Times New Roman"/>
          <w:sz w:val="24"/>
        </w:rPr>
        <w:t xml:space="preserve"> and thank the BLM for its consideration of our concerns</w:t>
      </w:r>
      <w:r w:rsidR="00931C93" w:rsidRPr="00832287">
        <w:rPr>
          <w:rFonts w:ascii="Times New Roman" w:hAnsi="Times New Roman"/>
          <w:sz w:val="24"/>
        </w:rPr>
        <w:t xml:space="preserve">. </w:t>
      </w:r>
      <w:r w:rsidR="00FF316A" w:rsidRPr="00832287">
        <w:rPr>
          <w:rFonts w:ascii="Times New Roman" w:hAnsi="Times New Roman"/>
          <w:sz w:val="24"/>
        </w:rPr>
        <w:t xml:space="preserve">If you have any questions or would like additional information concerning SLUPAC, please feel free to contact Scott Carey, State Lands Planner at 775-684-2723 or </w:t>
      </w:r>
      <w:hyperlink r:id="rId9" w:history="1">
        <w:r w:rsidR="00FF316A" w:rsidRPr="00832287">
          <w:rPr>
            <w:rStyle w:val="Hyperlink"/>
            <w:rFonts w:ascii="Times New Roman" w:hAnsi="Times New Roman"/>
            <w:sz w:val="24"/>
          </w:rPr>
          <w:t>scarey@lands.nv.gov</w:t>
        </w:r>
      </w:hyperlink>
      <w:r w:rsidR="00FF316A" w:rsidRPr="00832287">
        <w:rPr>
          <w:rFonts w:ascii="Times New Roman" w:hAnsi="Times New Roman"/>
          <w:sz w:val="24"/>
        </w:rPr>
        <w:t xml:space="preserve">. </w:t>
      </w:r>
    </w:p>
    <w:p w14:paraId="6FA47DD6" w14:textId="235636E3" w:rsidR="00FF316A" w:rsidRPr="00832287" w:rsidRDefault="00FF316A" w:rsidP="00832287">
      <w:pPr>
        <w:jc w:val="both"/>
        <w:rPr>
          <w:rFonts w:ascii="Times New Roman" w:hAnsi="Times New Roman"/>
          <w:sz w:val="24"/>
        </w:rPr>
      </w:pPr>
    </w:p>
    <w:p w14:paraId="1E97F36B" w14:textId="77777777" w:rsidR="00036F03" w:rsidRDefault="00036F03" w:rsidP="00832287">
      <w:pPr>
        <w:jc w:val="both"/>
        <w:rPr>
          <w:rFonts w:ascii="Times New Roman" w:hAnsi="Times New Roman"/>
          <w:sz w:val="24"/>
        </w:rPr>
      </w:pPr>
    </w:p>
    <w:p w14:paraId="5494B9FC" w14:textId="77777777" w:rsidR="009F2DAC" w:rsidRDefault="009F2DAC" w:rsidP="00832287">
      <w:pPr>
        <w:jc w:val="both"/>
        <w:rPr>
          <w:rFonts w:ascii="Times New Roman" w:hAnsi="Times New Roman"/>
          <w:sz w:val="24"/>
        </w:rPr>
      </w:pPr>
    </w:p>
    <w:p w14:paraId="102BB32E" w14:textId="77777777" w:rsidR="009F2DAC" w:rsidRDefault="009F2DAC" w:rsidP="00832287">
      <w:pPr>
        <w:jc w:val="both"/>
        <w:rPr>
          <w:rFonts w:ascii="Times New Roman" w:hAnsi="Times New Roman"/>
          <w:sz w:val="24"/>
        </w:rPr>
      </w:pPr>
    </w:p>
    <w:p w14:paraId="147C7747" w14:textId="683D9C09" w:rsidR="00FF316A" w:rsidRPr="00832287" w:rsidRDefault="00FF316A" w:rsidP="00832287">
      <w:pPr>
        <w:jc w:val="both"/>
        <w:rPr>
          <w:rFonts w:ascii="Times New Roman" w:hAnsi="Times New Roman"/>
          <w:sz w:val="24"/>
        </w:rPr>
      </w:pPr>
      <w:r w:rsidRPr="00832287">
        <w:rPr>
          <w:rFonts w:ascii="Times New Roman" w:hAnsi="Times New Roman"/>
          <w:sz w:val="24"/>
        </w:rPr>
        <w:lastRenderedPageBreak/>
        <w:t>Sincerely,</w:t>
      </w:r>
    </w:p>
    <w:p w14:paraId="2656B344" w14:textId="78249E41" w:rsidR="00CD5ED5" w:rsidRPr="00832287" w:rsidRDefault="00CD5ED5" w:rsidP="00832287">
      <w:pPr>
        <w:jc w:val="both"/>
        <w:rPr>
          <w:rFonts w:ascii="Times New Roman" w:hAnsi="Times New Roman"/>
          <w:noProof/>
          <w:sz w:val="24"/>
        </w:rPr>
      </w:pPr>
    </w:p>
    <w:p w14:paraId="2FD8149B" w14:textId="0F9B54DB" w:rsidR="00CD5ED5" w:rsidRPr="00832287" w:rsidRDefault="00CD5ED5" w:rsidP="00832287">
      <w:pPr>
        <w:jc w:val="both"/>
        <w:rPr>
          <w:rFonts w:ascii="Times New Roman" w:hAnsi="Times New Roman"/>
          <w:noProof/>
          <w:sz w:val="24"/>
        </w:rPr>
      </w:pPr>
    </w:p>
    <w:p w14:paraId="5513012A" w14:textId="296DB84E" w:rsidR="00CD5ED5" w:rsidRPr="00832287" w:rsidRDefault="00CD5ED5" w:rsidP="00832287">
      <w:pPr>
        <w:jc w:val="both"/>
        <w:rPr>
          <w:rFonts w:ascii="Times New Roman" w:hAnsi="Times New Roman"/>
          <w:noProof/>
          <w:sz w:val="24"/>
        </w:rPr>
      </w:pPr>
    </w:p>
    <w:p w14:paraId="67A24814" w14:textId="77777777" w:rsidR="00FA6FA2" w:rsidRPr="00832287" w:rsidRDefault="00FA6FA2" w:rsidP="00832287">
      <w:pPr>
        <w:jc w:val="both"/>
        <w:rPr>
          <w:rFonts w:ascii="Times New Roman" w:hAnsi="Times New Roman"/>
          <w:sz w:val="24"/>
        </w:rPr>
      </w:pPr>
    </w:p>
    <w:p w14:paraId="730E5F5D" w14:textId="5D6C1A5E" w:rsidR="00FF316A" w:rsidRPr="00832287" w:rsidRDefault="00FF316A" w:rsidP="00832287">
      <w:pPr>
        <w:jc w:val="both"/>
        <w:rPr>
          <w:rFonts w:ascii="Times New Roman" w:hAnsi="Times New Roman"/>
          <w:sz w:val="24"/>
        </w:rPr>
      </w:pPr>
      <w:r w:rsidRPr="00832287">
        <w:rPr>
          <w:rFonts w:ascii="Times New Roman" w:hAnsi="Times New Roman"/>
          <w:sz w:val="24"/>
        </w:rPr>
        <w:t>Jake Tibbitts</w:t>
      </w:r>
      <w:r w:rsidR="00FF03F4" w:rsidRPr="00832287">
        <w:rPr>
          <w:rFonts w:ascii="Times New Roman" w:hAnsi="Times New Roman"/>
          <w:sz w:val="24"/>
        </w:rPr>
        <w:t xml:space="preserve">, </w:t>
      </w:r>
      <w:r w:rsidRPr="00832287">
        <w:rPr>
          <w:rFonts w:ascii="Times New Roman" w:hAnsi="Times New Roman"/>
          <w:sz w:val="24"/>
        </w:rPr>
        <w:t>Chair</w:t>
      </w:r>
    </w:p>
    <w:p w14:paraId="096D6820" w14:textId="77777777" w:rsidR="00FF316A" w:rsidRDefault="00FF316A" w:rsidP="00832287">
      <w:pPr>
        <w:jc w:val="both"/>
        <w:rPr>
          <w:rFonts w:ascii="Times New Roman" w:hAnsi="Times New Roman"/>
          <w:sz w:val="24"/>
        </w:rPr>
      </w:pPr>
      <w:r w:rsidRPr="00832287">
        <w:rPr>
          <w:rFonts w:ascii="Times New Roman" w:hAnsi="Times New Roman"/>
          <w:sz w:val="24"/>
        </w:rPr>
        <w:t>State Land Use Planning Advisory Council</w:t>
      </w:r>
    </w:p>
    <w:p w14:paraId="1E508D7A" w14:textId="77777777" w:rsidR="00A03942" w:rsidRDefault="00A03942" w:rsidP="00832287">
      <w:pPr>
        <w:jc w:val="both"/>
        <w:rPr>
          <w:rFonts w:ascii="Times New Roman" w:hAnsi="Times New Roman"/>
          <w:sz w:val="24"/>
        </w:rPr>
      </w:pPr>
    </w:p>
    <w:p w14:paraId="5F47DB6B" w14:textId="77777777" w:rsidR="00CD5ED5" w:rsidRPr="00832287" w:rsidRDefault="00CD5ED5" w:rsidP="00832287">
      <w:pPr>
        <w:rPr>
          <w:rFonts w:ascii="Times New Roman" w:hAnsi="Times New Roman"/>
          <w:sz w:val="24"/>
        </w:rPr>
      </w:pPr>
    </w:p>
    <w:p w14:paraId="3F1C429C" w14:textId="77777777" w:rsidR="00CD5ED5" w:rsidRPr="00832287" w:rsidRDefault="00CD5ED5" w:rsidP="00832287">
      <w:pPr>
        <w:rPr>
          <w:rFonts w:ascii="Times New Roman" w:hAnsi="Times New Roman"/>
          <w:sz w:val="24"/>
        </w:rPr>
      </w:pPr>
    </w:p>
    <w:p w14:paraId="388899A6" w14:textId="77777777" w:rsidR="00CD5ED5" w:rsidRDefault="00CD5ED5" w:rsidP="00832287">
      <w:pPr>
        <w:rPr>
          <w:rFonts w:ascii="Times New Roman" w:hAnsi="Times New Roman"/>
          <w:sz w:val="24"/>
        </w:rPr>
      </w:pPr>
    </w:p>
    <w:p w14:paraId="39D72CDD" w14:textId="77777777" w:rsidR="00036F03" w:rsidRDefault="00036F03" w:rsidP="00832287">
      <w:pPr>
        <w:rPr>
          <w:rFonts w:ascii="Times New Roman" w:hAnsi="Times New Roman"/>
          <w:sz w:val="24"/>
        </w:rPr>
      </w:pPr>
    </w:p>
    <w:p w14:paraId="2C3A27DE" w14:textId="77777777" w:rsidR="00036F03" w:rsidRDefault="00036F03" w:rsidP="00832287">
      <w:pPr>
        <w:rPr>
          <w:rFonts w:ascii="Times New Roman" w:hAnsi="Times New Roman"/>
          <w:sz w:val="24"/>
        </w:rPr>
      </w:pPr>
    </w:p>
    <w:p w14:paraId="0C1B62BC" w14:textId="77777777" w:rsidR="00036F03" w:rsidRDefault="00036F03" w:rsidP="00832287">
      <w:pPr>
        <w:rPr>
          <w:rFonts w:ascii="Times New Roman" w:hAnsi="Times New Roman"/>
          <w:sz w:val="24"/>
        </w:rPr>
      </w:pPr>
    </w:p>
    <w:p w14:paraId="3A4C5FA2" w14:textId="77777777" w:rsidR="00036F03" w:rsidRDefault="00036F03" w:rsidP="00832287">
      <w:pPr>
        <w:rPr>
          <w:rFonts w:ascii="Times New Roman" w:hAnsi="Times New Roman"/>
          <w:sz w:val="24"/>
        </w:rPr>
      </w:pPr>
    </w:p>
    <w:p w14:paraId="27419C5A" w14:textId="77777777" w:rsidR="00036F03" w:rsidRDefault="00036F03" w:rsidP="00832287">
      <w:pPr>
        <w:rPr>
          <w:rFonts w:ascii="Times New Roman" w:hAnsi="Times New Roman"/>
          <w:sz w:val="24"/>
        </w:rPr>
      </w:pPr>
    </w:p>
    <w:p w14:paraId="556D5627" w14:textId="77777777" w:rsidR="00036F03" w:rsidRPr="00832287" w:rsidRDefault="00036F03" w:rsidP="00832287">
      <w:pPr>
        <w:rPr>
          <w:rFonts w:ascii="Times New Roman" w:hAnsi="Times New Roman"/>
          <w:sz w:val="24"/>
        </w:rPr>
      </w:pPr>
    </w:p>
    <w:p w14:paraId="06ECB1AA" w14:textId="5E2124AB" w:rsidR="008576B3" w:rsidRPr="00832287" w:rsidRDefault="008576B3" w:rsidP="00832287">
      <w:pPr>
        <w:rPr>
          <w:rFonts w:ascii="Times New Roman" w:hAnsi="Times New Roman"/>
          <w:sz w:val="24"/>
        </w:rPr>
      </w:pPr>
      <w:r w:rsidRPr="00832287">
        <w:rPr>
          <w:rFonts w:ascii="Times New Roman" w:hAnsi="Times New Roman"/>
          <w:sz w:val="24"/>
        </w:rPr>
        <w:t xml:space="preserve">CC: </w:t>
      </w:r>
    </w:p>
    <w:p w14:paraId="60E59AE4" w14:textId="56CEE453" w:rsidR="00B01853" w:rsidRPr="00832287" w:rsidRDefault="00B01853" w:rsidP="00832287">
      <w:pPr>
        <w:rPr>
          <w:rFonts w:ascii="Times New Roman" w:hAnsi="Times New Roman"/>
          <w:sz w:val="24"/>
        </w:rPr>
      </w:pPr>
      <w:r w:rsidRPr="00832287">
        <w:rPr>
          <w:rFonts w:ascii="Times New Roman" w:hAnsi="Times New Roman"/>
          <w:sz w:val="24"/>
        </w:rPr>
        <w:t xml:space="preserve">Governor </w:t>
      </w:r>
      <w:r w:rsidR="00CD5ED5" w:rsidRPr="00832287">
        <w:rPr>
          <w:rFonts w:ascii="Times New Roman" w:hAnsi="Times New Roman"/>
          <w:sz w:val="24"/>
        </w:rPr>
        <w:t>Joe Lombardo</w:t>
      </w:r>
    </w:p>
    <w:p w14:paraId="2A2D588B" w14:textId="77777777" w:rsidR="005C12B4" w:rsidRPr="00832287" w:rsidRDefault="005C12B4" w:rsidP="00832287">
      <w:pPr>
        <w:tabs>
          <w:tab w:val="left" w:pos="720"/>
          <w:tab w:val="left" w:pos="1440"/>
          <w:tab w:val="left" w:pos="2160"/>
          <w:tab w:val="left" w:pos="2880"/>
          <w:tab w:val="left" w:pos="3600"/>
          <w:tab w:val="left" w:pos="4320"/>
          <w:tab w:val="left" w:pos="5040"/>
          <w:tab w:val="left" w:pos="5760"/>
          <w:tab w:val="left" w:pos="6136"/>
        </w:tabs>
        <w:jc w:val="both"/>
        <w:rPr>
          <w:rFonts w:ascii="Times New Roman" w:hAnsi="Times New Roman"/>
          <w:sz w:val="24"/>
        </w:rPr>
      </w:pPr>
      <w:r w:rsidRPr="00832287">
        <w:rPr>
          <w:rFonts w:ascii="Times New Roman" w:hAnsi="Times New Roman"/>
          <w:sz w:val="24"/>
        </w:rPr>
        <w:t xml:space="preserve">Senator </w:t>
      </w:r>
      <w:bookmarkStart w:id="1" w:name="_Hlk104387989"/>
      <w:r w:rsidRPr="00832287">
        <w:rPr>
          <w:rFonts w:ascii="Times New Roman" w:hAnsi="Times New Roman"/>
          <w:sz w:val="24"/>
        </w:rPr>
        <w:t>Catherine Cortez Masto</w:t>
      </w:r>
      <w:bookmarkEnd w:id="1"/>
    </w:p>
    <w:p w14:paraId="28AA8D03" w14:textId="43382663" w:rsidR="005C12B4" w:rsidRPr="00832287" w:rsidRDefault="005C12B4" w:rsidP="00832287">
      <w:pPr>
        <w:tabs>
          <w:tab w:val="left" w:pos="720"/>
          <w:tab w:val="left" w:pos="1440"/>
          <w:tab w:val="left" w:pos="2160"/>
          <w:tab w:val="left" w:pos="2880"/>
          <w:tab w:val="left" w:pos="3600"/>
          <w:tab w:val="left" w:pos="4320"/>
          <w:tab w:val="left" w:pos="5040"/>
          <w:tab w:val="left" w:pos="5760"/>
          <w:tab w:val="left" w:pos="6136"/>
        </w:tabs>
        <w:jc w:val="both"/>
        <w:rPr>
          <w:rFonts w:ascii="Times New Roman" w:hAnsi="Times New Roman"/>
          <w:sz w:val="24"/>
        </w:rPr>
      </w:pPr>
      <w:bookmarkStart w:id="2" w:name="_Hlk104387997"/>
      <w:r w:rsidRPr="00832287">
        <w:rPr>
          <w:rFonts w:ascii="Times New Roman" w:hAnsi="Times New Roman"/>
          <w:sz w:val="24"/>
        </w:rPr>
        <w:t>Senator Jack</w:t>
      </w:r>
      <w:r w:rsidR="00FF03F4" w:rsidRPr="00832287">
        <w:rPr>
          <w:rFonts w:ascii="Times New Roman" w:hAnsi="Times New Roman"/>
          <w:sz w:val="24"/>
        </w:rPr>
        <w:t>y</w:t>
      </w:r>
      <w:r w:rsidRPr="00832287">
        <w:rPr>
          <w:rFonts w:ascii="Times New Roman" w:hAnsi="Times New Roman"/>
          <w:sz w:val="24"/>
        </w:rPr>
        <w:t xml:space="preserve"> Rosen</w:t>
      </w:r>
    </w:p>
    <w:p w14:paraId="1503E49E" w14:textId="77777777" w:rsidR="000935B5" w:rsidRPr="00832287" w:rsidRDefault="000935B5" w:rsidP="00832287">
      <w:pPr>
        <w:tabs>
          <w:tab w:val="left" w:pos="720"/>
          <w:tab w:val="left" w:pos="1440"/>
          <w:tab w:val="left" w:pos="2160"/>
          <w:tab w:val="left" w:pos="2880"/>
          <w:tab w:val="left" w:pos="3600"/>
          <w:tab w:val="left" w:pos="4320"/>
          <w:tab w:val="left" w:pos="5040"/>
          <w:tab w:val="left" w:pos="5760"/>
          <w:tab w:val="left" w:pos="6136"/>
        </w:tabs>
        <w:jc w:val="both"/>
        <w:rPr>
          <w:rFonts w:ascii="Times New Roman" w:hAnsi="Times New Roman"/>
          <w:sz w:val="24"/>
        </w:rPr>
      </w:pPr>
      <w:bookmarkStart w:id="3" w:name="_Hlk104388016"/>
      <w:bookmarkEnd w:id="2"/>
      <w:r w:rsidRPr="00832287">
        <w:rPr>
          <w:rFonts w:ascii="Times New Roman" w:hAnsi="Times New Roman"/>
          <w:sz w:val="24"/>
        </w:rPr>
        <w:t>Congresswoman Dina Titus</w:t>
      </w:r>
    </w:p>
    <w:p w14:paraId="31F06EA1" w14:textId="389FE292" w:rsidR="005C12B4" w:rsidRPr="00832287" w:rsidRDefault="005C12B4" w:rsidP="00832287">
      <w:pPr>
        <w:tabs>
          <w:tab w:val="left" w:pos="720"/>
          <w:tab w:val="left" w:pos="1440"/>
          <w:tab w:val="left" w:pos="2160"/>
          <w:tab w:val="left" w:pos="2880"/>
          <w:tab w:val="left" w:pos="3600"/>
          <w:tab w:val="left" w:pos="4320"/>
          <w:tab w:val="left" w:pos="5040"/>
          <w:tab w:val="left" w:pos="5760"/>
          <w:tab w:val="left" w:pos="6136"/>
        </w:tabs>
        <w:jc w:val="both"/>
        <w:rPr>
          <w:rFonts w:ascii="Times New Roman" w:hAnsi="Times New Roman"/>
          <w:sz w:val="24"/>
        </w:rPr>
      </w:pPr>
      <w:bookmarkStart w:id="4" w:name="_Hlk104388029"/>
      <w:bookmarkEnd w:id="3"/>
      <w:r w:rsidRPr="00832287">
        <w:rPr>
          <w:rFonts w:ascii="Times New Roman" w:hAnsi="Times New Roman"/>
          <w:sz w:val="24"/>
        </w:rPr>
        <w:t>Congressman Mark Amodei</w:t>
      </w:r>
    </w:p>
    <w:p w14:paraId="0A5BDCD3" w14:textId="77777777" w:rsidR="000935B5" w:rsidRPr="00832287" w:rsidRDefault="000935B5" w:rsidP="00832287">
      <w:pPr>
        <w:tabs>
          <w:tab w:val="left" w:pos="720"/>
          <w:tab w:val="left" w:pos="1440"/>
          <w:tab w:val="left" w:pos="2160"/>
          <w:tab w:val="left" w:pos="2880"/>
          <w:tab w:val="left" w:pos="3600"/>
          <w:tab w:val="left" w:pos="4320"/>
          <w:tab w:val="left" w:pos="5040"/>
          <w:tab w:val="left" w:pos="5760"/>
          <w:tab w:val="left" w:pos="6136"/>
        </w:tabs>
        <w:jc w:val="both"/>
        <w:rPr>
          <w:rFonts w:ascii="Times New Roman" w:hAnsi="Times New Roman"/>
          <w:sz w:val="24"/>
        </w:rPr>
      </w:pPr>
      <w:bookmarkStart w:id="5" w:name="_Hlk104388037"/>
      <w:bookmarkEnd w:id="4"/>
      <w:r w:rsidRPr="00832287">
        <w:rPr>
          <w:rFonts w:ascii="Times New Roman" w:hAnsi="Times New Roman"/>
          <w:sz w:val="24"/>
        </w:rPr>
        <w:t>Congresswoman Susie Lee</w:t>
      </w:r>
    </w:p>
    <w:p w14:paraId="49F27227" w14:textId="799E7F9E" w:rsidR="008576B3" w:rsidRPr="00832287" w:rsidRDefault="005C12B4" w:rsidP="00832287">
      <w:pPr>
        <w:rPr>
          <w:rFonts w:ascii="Times New Roman" w:hAnsi="Times New Roman"/>
          <w:sz w:val="24"/>
        </w:rPr>
      </w:pPr>
      <w:bookmarkStart w:id="6" w:name="_Hlk104388050"/>
      <w:bookmarkEnd w:id="5"/>
      <w:r w:rsidRPr="00832287">
        <w:rPr>
          <w:rFonts w:ascii="Times New Roman" w:hAnsi="Times New Roman"/>
          <w:sz w:val="24"/>
        </w:rPr>
        <w:t>Congressman Steven Horsford</w:t>
      </w:r>
      <w:bookmarkEnd w:id="6"/>
    </w:p>
    <w:p w14:paraId="6CCF409F" w14:textId="07925A48" w:rsidR="00FA6F02" w:rsidRPr="00832287" w:rsidRDefault="00FA6F02" w:rsidP="00832287">
      <w:pPr>
        <w:rPr>
          <w:rFonts w:ascii="Times New Roman" w:hAnsi="Times New Roman"/>
          <w:sz w:val="24"/>
        </w:rPr>
      </w:pPr>
      <w:r w:rsidRPr="00832287">
        <w:rPr>
          <w:rFonts w:ascii="Times New Roman" w:hAnsi="Times New Roman"/>
          <w:sz w:val="24"/>
        </w:rPr>
        <w:t>Jon Raby, Nevada State Director</w:t>
      </w:r>
    </w:p>
    <w:sectPr w:rsidR="00FA6F02" w:rsidRPr="00832287" w:rsidSect="0055243B">
      <w:headerReference w:type="default" r:id="rId10"/>
      <w:footerReference w:type="default" r:id="rId11"/>
      <w:pgSz w:w="12240" w:h="15840"/>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7D10" w14:textId="77777777" w:rsidR="005553F8" w:rsidRDefault="005553F8" w:rsidP="00FF316A">
      <w:r>
        <w:separator/>
      </w:r>
    </w:p>
  </w:endnote>
  <w:endnote w:type="continuationSeparator" w:id="0">
    <w:p w14:paraId="6E36D801" w14:textId="77777777" w:rsidR="005553F8" w:rsidRDefault="005553F8" w:rsidP="00FF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8"/>
      </w:rPr>
      <w:id w:val="1113556533"/>
      <w:docPartObj>
        <w:docPartGallery w:val="Page Numbers (Bottom of Page)"/>
        <w:docPartUnique/>
      </w:docPartObj>
    </w:sdtPr>
    <w:sdtEndPr>
      <w:rPr>
        <w:noProof/>
        <w:sz w:val="28"/>
      </w:rPr>
    </w:sdtEndPr>
    <w:sdtContent>
      <w:p w14:paraId="377A19B7" w14:textId="77777777" w:rsidR="00FF316A" w:rsidRPr="00BD0C2B" w:rsidRDefault="00FF316A">
        <w:pPr>
          <w:pStyle w:val="Footer"/>
          <w:jc w:val="center"/>
          <w:rPr>
            <w:rFonts w:ascii="Times New Roman" w:hAnsi="Times New Roman"/>
            <w:sz w:val="24"/>
            <w:szCs w:val="28"/>
          </w:rPr>
        </w:pPr>
        <w:r w:rsidRPr="00BD0C2B">
          <w:rPr>
            <w:rFonts w:ascii="Times New Roman" w:hAnsi="Times New Roman"/>
            <w:sz w:val="24"/>
            <w:szCs w:val="28"/>
          </w:rPr>
          <w:fldChar w:fldCharType="begin"/>
        </w:r>
        <w:r w:rsidRPr="00BD0C2B">
          <w:rPr>
            <w:rFonts w:ascii="Times New Roman" w:hAnsi="Times New Roman"/>
            <w:sz w:val="24"/>
            <w:szCs w:val="28"/>
          </w:rPr>
          <w:instrText xml:space="preserve"> PAGE   \* MERGEFORMAT </w:instrText>
        </w:r>
        <w:r w:rsidRPr="00BD0C2B">
          <w:rPr>
            <w:rFonts w:ascii="Times New Roman" w:hAnsi="Times New Roman"/>
            <w:sz w:val="24"/>
            <w:szCs w:val="28"/>
          </w:rPr>
          <w:fldChar w:fldCharType="separate"/>
        </w:r>
        <w:r w:rsidR="00240EFF">
          <w:rPr>
            <w:rFonts w:ascii="Times New Roman" w:hAnsi="Times New Roman"/>
            <w:noProof/>
            <w:sz w:val="24"/>
            <w:szCs w:val="28"/>
          </w:rPr>
          <w:t>3</w:t>
        </w:r>
        <w:r w:rsidRPr="00BD0C2B">
          <w:rPr>
            <w:rFonts w:ascii="Times New Roman" w:hAnsi="Times New Roman"/>
            <w:noProof/>
            <w:sz w:val="24"/>
            <w:szCs w:val="28"/>
          </w:rPr>
          <w:fldChar w:fldCharType="end"/>
        </w:r>
      </w:p>
    </w:sdtContent>
  </w:sdt>
  <w:p w14:paraId="62395A6B" w14:textId="178591C6" w:rsidR="00FF316A" w:rsidRPr="003A095A" w:rsidRDefault="003A095A" w:rsidP="003A095A">
    <w:pPr>
      <w:pStyle w:val="Footer"/>
      <w:jc w:val="center"/>
      <w:rPr>
        <w:b/>
        <w:bCs/>
        <w:color w:val="FF0000"/>
        <w:sz w:val="48"/>
        <w:szCs w:val="52"/>
      </w:rPr>
    </w:pPr>
    <w:r w:rsidRPr="003A095A">
      <w:rPr>
        <w:b/>
        <w:bCs/>
        <w:color w:val="FF0000"/>
        <w:sz w:val="48"/>
        <w:szCs w:val="52"/>
      </w:rP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501F" w14:textId="77777777" w:rsidR="005553F8" w:rsidRDefault="005553F8" w:rsidP="00FF316A">
      <w:r>
        <w:separator/>
      </w:r>
    </w:p>
  </w:footnote>
  <w:footnote w:type="continuationSeparator" w:id="0">
    <w:p w14:paraId="32BD4DC1" w14:textId="77777777" w:rsidR="005553F8" w:rsidRDefault="005553F8" w:rsidP="00FF3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47CA" w14:textId="77777777" w:rsidR="003A095A" w:rsidRPr="003A095A" w:rsidRDefault="003A095A" w:rsidP="003A095A">
    <w:pPr>
      <w:pStyle w:val="Header"/>
      <w:jc w:val="center"/>
      <w:rPr>
        <w:b/>
        <w:bCs/>
        <w:color w:val="FF0000"/>
        <w:sz w:val="44"/>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31911"/>
    <w:multiLevelType w:val="hybridMultilevel"/>
    <w:tmpl w:val="92C64D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42FB697E"/>
    <w:multiLevelType w:val="hybridMultilevel"/>
    <w:tmpl w:val="35DA6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D378B3"/>
    <w:multiLevelType w:val="multilevel"/>
    <w:tmpl w:val="8C2A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5942659">
    <w:abstractNumId w:val="2"/>
  </w:num>
  <w:num w:numId="2" w16cid:durableId="1017199613">
    <w:abstractNumId w:val="1"/>
  </w:num>
  <w:num w:numId="3" w16cid:durableId="1444761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6A"/>
    <w:rsid w:val="000345F1"/>
    <w:rsid w:val="00036A74"/>
    <w:rsid w:val="00036F03"/>
    <w:rsid w:val="0004619A"/>
    <w:rsid w:val="00053460"/>
    <w:rsid w:val="000878E8"/>
    <w:rsid w:val="000935B5"/>
    <w:rsid w:val="000A2452"/>
    <w:rsid w:val="000D7504"/>
    <w:rsid w:val="000E1FD9"/>
    <w:rsid w:val="000E4BD0"/>
    <w:rsid w:val="000F1E99"/>
    <w:rsid w:val="00104F38"/>
    <w:rsid w:val="00163F48"/>
    <w:rsid w:val="0017168B"/>
    <w:rsid w:val="00184406"/>
    <w:rsid w:val="00191137"/>
    <w:rsid w:val="001974A7"/>
    <w:rsid w:val="00197B79"/>
    <w:rsid w:val="001A3E4E"/>
    <w:rsid w:val="001A4168"/>
    <w:rsid w:val="001C5CDA"/>
    <w:rsid w:val="001D06B3"/>
    <w:rsid w:val="001E729B"/>
    <w:rsid w:val="001F68B6"/>
    <w:rsid w:val="00200228"/>
    <w:rsid w:val="00204BF7"/>
    <w:rsid w:val="00206EBF"/>
    <w:rsid w:val="00210A9A"/>
    <w:rsid w:val="00213CC1"/>
    <w:rsid w:val="00240EFF"/>
    <w:rsid w:val="00252023"/>
    <w:rsid w:val="00264F0D"/>
    <w:rsid w:val="002719A8"/>
    <w:rsid w:val="00280672"/>
    <w:rsid w:val="00294EDB"/>
    <w:rsid w:val="002D6C0C"/>
    <w:rsid w:val="002E6676"/>
    <w:rsid w:val="002E6B34"/>
    <w:rsid w:val="002F09F5"/>
    <w:rsid w:val="002F3AE3"/>
    <w:rsid w:val="00311CF6"/>
    <w:rsid w:val="0032386A"/>
    <w:rsid w:val="00344F9E"/>
    <w:rsid w:val="00361F76"/>
    <w:rsid w:val="003638CA"/>
    <w:rsid w:val="00365416"/>
    <w:rsid w:val="00371B5C"/>
    <w:rsid w:val="00377B4D"/>
    <w:rsid w:val="003842CF"/>
    <w:rsid w:val="0038619D"/>
    <w:rsid w:val="00390BE6"/>
    <w:rsid w:val="003A095A"/>
    <w:rsid w:val="003A4C65"/>
    <w:rsid w:val="003B7E4B"/>
    <w:rsid w:val="003D08DB"/>
    <w:rsid w:val="004230F7"/>
    <w:rsid w:val="00435E27"/>
    <w:rsid w:val="00482D5B"/>
    <w:rsid w:val="004A2710"/>
    <w:rsid w:val="004A4BC8"/>
    <w:rsid w:val="004A58E7"/>
    <w:rsid w:val="004A65D7"/>
    <w:rsid w:val="004A6D40"/>
    <w:rsid w:val="004B08DB"/>
    <w:rsid w:val="004D4A1C"/>
    <w:rsid w:val="004E299A"/>
    <w:rsid w:val="0050166E"/>
    <w:rsid w:val="0050739F"/>
    <w:rsid w:val="00511B51"/>
    <w:rsid w:val="0055243B"/>
    <w:rsid w:val="005553F8"/>
    <w:rsid w:val="00562220"/>
    <w:rsid w:val="005827B5"/>
    <w:rsid w:val="00583AE9"/>
    <w:rsid w:val="00591206"/>
    <w:rsid w:val="00596894"/>
    <w:rsid w:val="005A5D4B"/>
    <w:rsid w:val="005B71B7"/>
    <w:rsid w:val="005B7EE7"/>
    <w:rsid w:val="005C12B4"/>
    <w:rsid w:val="005C417F"/>
    <w:rsid w:val="00600997"/>
    <w:rsid w:val="00600E38"/>
    <w:rsid w:val="00613F1C"/>
    <w:rsid w:val="00640227"/>
    <w:rsid w:val="0064319E"/>
    <w:rsid w:val="00657613"/>
    <w:rsid w:val="00663E52"/>
    <w:rsid w:val="006734EE"/>
    <w:rsid w:val="00675794"/>
    <w:rsid w:val="00682EA0"/>
    <w:rsid w:val="00684EAA"/>
    <w:rsid w:val="00690EE7"/>
    <w:rsid w:val="006943CF"/>
    <w:rsid w:val="006A5622"/>
    <w:rsid w:val="006B529A"/>
    <w:rsid w:val="006C4B04"/>
    <w:rsid w:val="006E6D31"/>
    <w:rsid w:val="006F035F"/>
    <w:rsid w:val="00732550"/>
    <w:rsid w:val="0073354B"/>
    <w:rsid w:val="007543E7"/>
    <w:rsid w:val="007635E8"/>
    <w:rsid w:val="00764036"/>
    <w:rsid w:val="00770964"/>
    <w:rsid w:val="00772BD7"/>
    <w:rsid w:val="00773094"/>
    <w:rsid w:val="00783C08"/>
    <w:rsid w:val="0079166A"/>
    <w:rsid w:val="007C6298"/>
    <w:rsid w:val="007D30D0"/>
    <w:rsid w:val="007E1D41"/>
    <w:rsid w:val="007E679D"/>
    <w:rsid w:val="007F0068"/>
    <w:rsid w:val="0081685F"/>
    <w:rsid w:val="00817A1C"/>
    <w:rsid w:val="00826578"/>
    <w:rsid w:val="00832287"/>
    <w:rsid w:val="008336D3"/>
    <w:rsid w:val="008337BB"/>
    <w:rsid w:val="00837E95"/>
    <w:rsid w:val="00846EB1"/>
    <w:rsid w:val="008576B3"/>
    <w:rsid w:val="00857723"/>
    <w:rsid w:val="0089540D"/>
    <w:rsid w:val="008B32BE"/>
    <w:rsid w:val="008B3CC8"/>
    <w:rsid w:val="008B5A3F"/>
    <w:rsid w:val="008B69A9"/>
    <w:rsid w:val="008C0878"/>
    <w:rsid w:val="008C1080"/>
    <w:rsid w:val="008C41D9"/>
    <w:rsid w:val="008C6B6C"/>
    <w:rsid w:val="008D1323"/>
    <w:rsid w:val="008D3E2C"/>
    <w:rsid w:val="008E6B76"/>
    <w:rsid w:val="00911E68"/>
    <w:rsid w:val="00920DC8"/>
    <w:rsid w:val="00931C93"/>
    <w:rsid w:val="009376D2"/>
    <w:rsid w:val="00951F86"/>
    <w:rsid w:val="0096045F"/>
    <w:rsid w:val="00972255"/>
    <w:rsid w:val="0097241A"/>
    <w:rsid w:val="009739AC"/>
    <w:rsid w:val="009748D7"/>
    <w:rsid w:val="00976469"/>
    <w:rsid w:val="00980666"/>
    <w:rsid w:val="009919A9"/>
    <w:rsid w:val="009D0BD9"/>
    <w:rsid w:val="009D3276"/>
    <w:rsid w:val="009E20EF"/>
    <w:rsid w:val="009F1CC1"/>
    <w:rsid w:val="009F2DAC"/>
    <w:rsid w:val="00A00741"/>
    <w:rsid w:val="00A03942"/>
    <w:rsid w:val="00A556C4"/>
    <w:rsid w:val="00A633C1"/>
    <w:rsid w:val="00A64C1D"/>
    <w:rsid w:val="00A7437C"/>
    <w:rsid w:val="00A77650"/>
    <w:rsid w:val="00A816C9"/>
    <w:rsid w:val="00A923AF"/>
    <w:rsid w:val="00AA1736"/>
    <w:rsid w:val="00AA1DEA"/>
    <w:rsid w:val="00AB1B08"/>
    <w:rsid w:val="00AC773A"/>
    <w:rsid w:val="00AE1F81"/>
    <w:rsid w:val="00AE4CC6"/>
    <w:rsid w:val="00AF0139"/>
    <w:rsid w:val="00AF0291"/>
    <w:rsid w:val="00B01853"/>
    <w:rsid w:val="00B1068C"/>
    <w:rsid w:val="00B11F5A"/>
    <w:rsid w:val="00B12541"/>
    <w:rsid w:val="00B30689"/>
    <w:rsid w:val="00B35A3B"/>
    <w:rsid w:val="00B409D7"/>
    <w:rsid w:val="00B44185"/>
    <w:rsid w:val="00B64D06"/>
    <w:rsid w:val="00B7147D"/>
    <w:rsid w:val="00B827F4"/>
    <w:rsid w:val="00BA7D3D"/>
    <w:rsid w:val="00BB14F8"/>
    <w:rsid w:val="00BB31FE"/>
    <w:rsid w:val="00BD0C2B"/>
    <w:rsid w:val="00BD2084"/>
    <w:rsid w:val="00BE472B"/>
    <w:rsid w:val="00C22198"/>
    <w:rsid w:val="00C44E19"/>
    <w:rsid w:val="00C47BDE"/>
    <w:rsid w:val="00C84A9E"/>
    <w:rsid w:val="00C9152B"/>
    <w:rsid w:val="00CA4FC0"/>
    <w:rsid w:val="00CA7CC9"/>
    <w:rsid w:val="00CB1B5E"/>
    <w:rsid w:val="00CB39B0"/>
    <w:rsid w:val="00CC19DA"/>
    <w:rsid w:val="00CD5ED5"/>
    <w:rsid w:val="00CD6D15"/>
    <w:rsid w:val="00CE4976"/>
    <w:rsid w:val="00CE57A4"/>
    <w:rsid w:val="00D32550"/>
    <w:rsid w:val="00D3554E"/>
    <w:rsid w:val="00D35FEA"/>
    <w:rsid w:val="00D434D6"/>
    <w:rsid w:val="00D50BC5"/>
    <w:rsid w:val="00D55013"/>
    <w:rsid w:val="00D94756"/>
    <w:rsid w:val="00DA0B7C"/>
    <w:rsid w:val="00DA32E3"/>
    <w:rsid w:val="00DA72FA"/>
    <w:rsid w:val="00DB7017"/>
    <w:rsid w:val="00DC0FBA"/>
    <w:rsid w:val="00DD02E4"/>
    <w:rsid w:val="00DD043A"/>
    <w:rsid w:val="00DD713D"/>
    <w:rsid w:val="00DD7DD6"/>
    <w:rsid w:val="00E064CB"/>
    <w:rsid w:val="00E215BC"/>
    <w:rsid w:val="00E21825"/>
    <w:rsid w:val="00E55580"/>
    <w:rsid w:val="00E66F80"/>
    <w:rsid w:val="00E67E16"/>
    <w:rsid w:val="00EA3BB5"/>
    <w:rsid w:val="00EA423E"/>
    <w:rsid w:val="00EA7F2E"/>
    <w:rsid w:val="00EB01B9"/>
    <w:rsid w:val="00EB1EA5"/>
    <w:rsid w:val="00EB5955"/>
    <w:rsid w:val="00ED4C92"/>
    <w:rsid w:val="00ED551D"/>
    <w:rsid w:val="00F03932"/>
    <w:rsid w:val="00F1754C"/>
    <w:rsid w:val="00F22268"/>
    <w:rsid w:val="00F24BB9"/>
    <w:rsid w:val="00F26FEE"/>
    <w:rsid w:val="00F310E7"/>
    <w:rsid w:val="00F32F83"/>
    <w:rsid w:val="00F65837"/>
    <w:rsid w:val="00F90966"/>
    <w:rsid w:val="00FA6F02"/>
    <w:rsid w:val="00FA6FA2"/>
    <w:rsid w:val="00FB6158"/>
    <w:rsid w:val="00FC3614"/>
    <w:rsid w:val="00FE574F"/>
    <w:rsid w:val="00FF03F4"/>
    <w:rsid w:val="00FF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589BC237"/>
  <w15:chartTrackingRefBased/>
  <w15:docId w15:val="{587E27BE-A25B-480B-8B8A-1BEAA14D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16A"/>
    <w:pPr>
      <w:spacing w:line="240" w:lineRule="auto"/>
    </w:pPr>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16A"/>
    <w:pPr>
      <w:tabs>
        <w:tab w:val="center" w:pos="4680"/>
        <w:tab w:val="right" w:pos="9360"/>
      </w:tabs>
    </w:pPr>
  </w:style>
  <w:style w:type="character" w:customStyle="1" w:styleId="HeaderChar">
    <w:name w:val="Header Char"/>
    <w:basedOn w:val="DefaultParagraphFont"/>
    <w:link w:val="Header"/>
    <w:uiPriority w:val="99"/>
    <w:rsid w:val="00FF316A"/>
    <w:rPr>
      <w:rFonts w:ascii="Arial" w:eastAsia="Times New Roman" w:hAnsi="Arial"/>
      <w:sz w:val="22"/>
    </w:rPr>
  </w:style>
  <w:style w:type="paragraph" w:styleId="Footer">
    <w:name w:val="footer"/>
    <w:basedOn w:val="Normal"/>
    <w:link w:val="FooterChar"/>
    <w:uiPriority w:val="99"/>
    <w:unhideWhenUsed/>
    <w:rsid w:val="00FF316A"/>
    <w:pPr>
      <w:tabs>
        <w:tab w:val="center" w:pos="4680"/>
        <w:tab w:val="right" w:pos="9360"/>
      </w:tabs>
    </w:pPr>
  </w:style>
  <w:style w:type="character" w:customStyle="1" w:styleId="FooterChar">
    <w:name w:val="Footer Char"/>
    <w:basedOn w:val="DefaultParagraphFont"/>
    <w:link w:val="Footer"/>
    <w:uiPriority w:val="99"/>
    <w:rsid w:val="00FF316A"/>
    <w:rPr>
      <w:rFonts w:ascii="Arial" w:eastAsia="Times New Roman" w:hAnsi="Arial"/>
      <w:sz w:val="22"/>
    </w:rPr>
  </w:style>
  <w:style w:type="character" w:styleId="Hyperlink">
    <w:name w:val="Hyperlink"/>
    <w:rsid w:val="00FF316A"/>
    <w:rPr>
      <w:color w:val="0000FF"/>
      <w:u w:val="single"/>
    </w:rPr>
  </w:style>
  <w:style w:type="paragraph" w:styleId="Revision">
    <w:name w:val="Revision"/>
    <w:hidden/>
    <w:uiPriority w:val="99"/>
    <w:semiHidden/>
    <w:rsid w:val="0017168B"/>
    <w:pPr>
      <w:spacing w:line="240" w:lineRule="auto"/>
    </w:pPr>
    <w:rPr>
      <w:rFonts w:ascii="Arial" w:eastAsia="Times New Roman" w:hAnsi="Arial"/>
      <w:sz w:val="22"/>
    </w:rPr>
  </w:style>
  <w:style w:type="paragraph" w:customStyle="1" w:styleId="p1">
    <w:name w:val="p1"/>
    <w:basedOn w:val="Normal"/>
    <w:rsid w:val="00EB01B9"/>
    <w:rPr>
      <w:rFonts w:ascii="Verdana" w:eastAsiaTheme="minorHAnsi" w:hAnsi="Verdana"/>
      <w:color w:val="373739"/>
      <w:sz w:val="17"/>
      <w:szCs w:val="17"/>
    </w:rPr>
  </w:style>
  <w:style w:type="paragraph" w:styleId="ListParagraph">
    <w:name w:val="List Paragraph"/>
    <w:basedOn w:val="Normal"/>
    <w:uiPriority w:val="34"/>
    <w:qFormat/>
    <w:rsid w:val="00D35FEA"/>
    <w:pPr>
      <w:ind w:left="720"/>
      <w:contextualSpacing/>
    </w:pPr>
    <w:rPr>
      <w:rFonts w:ascii="Times New Roman" w:eastAsiaTheme="minorHAnsi" w:hAnsi="Times New Roman"/>
      <w:sz w:val="24"/>
    </w:rPr>
  </w:style>
  <w:style w:type="character" w:styleId="CommentReference">
    <w:name w:val="annotation reference"/>
    <w:basedOn w:val="DefaultParagraphFont"/>
    <w:uiPriority w:val="99"/>
    <w:semiHidden/>
    <w:unhideWhenUsed/>
    <w:rsid w:val="001F68B6"/>
    <w:rPr>
      <w:sz w:val="16"/>
      <w:szCs w:val="16"/>
    </w:rPr>
  </w:style>
  <w:style w:type="paragraph" w:styleId="CommentText">
    <w:name w:val="annotation text"/>
    <w:basedOn w:val="Normal"/>
    <w:link w:val="CommentTextChar"/>
    <w:uiPriority w:val="99"/>
    <w:unhideWhenUsed/>
    <w:rsid w:val="001F68B6"/>
    <w:rPr>
      <w:sz w:val="20"/>
      <w:szCs w:val="20"/>
    </w:rPr>
  </w:style>
  <w:style w:type="character" w:customStyle="1" w:styleId="CommentTextChar">
    <w:name w:val="Comment Text Char"/>
    <w:basedOn w:val="DefaultParagraphFont"/>
    <w:link w:val="CommentText"/>
    <w:uiPriority w:val="99"/>
    <w:rsid w:val="001F68B6"/>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1F68B6"/>
    <w:rPr>
      <w:b/>
      <w:bCs/>
    </w:rPr>
  </w:style>
  <w:style w:type="character" w:customStyle="1" w:styleId="CommentSubjectChar">
    <w:name w:val="Comment Subject Char"/>
    <w:basedOn w:val="CommentTextChar"/>
    <w:link w:val="CommentSubject"/>
    <w:uiPriority w:val="99"/>
    <w:semiHidden/>
    <w:rsid w:val="001F68B6"/>
    <w:rPr>
      <w:rFonts w:ascii="Arial" w:eastAsia="Times New Roman"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4157">
      <w:bodyDiv w:val="1"/>
      <w:marLeft w:val="0"/>
      <w:marRight w:val="0"/>
      <w:marTop w:val="0"/>
      <w:marBottom w:val="0"/>
      <w:divBdr>
        <w:top w:val="none" w:sz="0" w:space="0" w:color="auto"/>
        <w:left w:val="none" w:sz="0" w:space="0" w:color="auto"/>
        <w:bottom w:val="none" w:sz="0" w:space="0" w:color="auto"/>
        <w:right w:val="none" w:sz="0" w:space="0" w:color="auto"/>
      </w:divBdr>
    </w:div>
    <w:div w:id="18613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arey@lands.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F9E9F-02A9-4ACD-9F6D-AFB09DE8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Carey</dc:creator>
  <cp:keywords/>
  <dc:description/>
  <cp:lastModifiedBy>Scott Carey</cp:lastModifiedBy>
  <cp:revision>6</cp:revision>
  <cp:lastPrinted>2022-06-08T16:50:00Z</cp:lastPrinted>
  <dcterms:created xsi:type="dcterms:W3CDTF">2023-06-08T22:17:00Z</dcterms:created>
  <dcterms:modified xsi:type="dcterms:W3CDTF">2023-06-08T23:53:00Z</dcterms:modified>
</cp:coreProperties>
</file>